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E2" w:rsidRPr="00567C11" w:rsidRDefault="003E08E2" w:rsidP="003E08E2">
      <w:pPr>
        <w:pStyle w:val="a6"/>
        <w:widowControl w:val="0"/>
        <w:tabs>
          <w:tab w:val="right" w:pos="9356"/>
        </w:tabs>
        <w:overflowPunct/>
        <w:autoSpaceDE/>
        <w:autoSpaceDN/>
        <w:spacing w:before="120"/>
        <w:outlineLvl w:val="9"/>
        <w:rPr>
          <w:color w:val="000000"/>
        </w:rPr>
      </w:pPr>
      <w:r w:rsidRPr="00567C11">
        <w:rPr>
          <w:bCs w:val="0"/>
          <w:iCs/>
          <w:color w:val="000000"/>
        </w:rPr>
        <w:t>(На бланке организации)</w:t>
      </w:r>
    </w:p>
    <w:p w:rsidR="003E08E2" w:rsidRPr="00567C11" w:rsidRDefault="003E08E2" w:rsidP="003E08E2">
      <w:pPr>
        <w:pStyle w:val="Headcenter"/>
        <w:jc w:val="right"/>
        <w:rPr>
          <w:b w:val="0"/>
          <w:i/>
          <w:color w:val="000000"/>
        </w:rPr>
      </w:pPr>
      <w:r w:rsidRPr="00567C11">
        <w:rPr>
          <w:b w:val="0"/>
          <w:i/>
          <w:color w:val="000000"/>
        </w:rPr>
        <w:t>В НКО НКЦ (АО)</w:t>
      </w:r>
    </w:p>
    <w:p w:rsidR="003E08E2" w:rsidRPr="00567C11" w:rsidRDefault="003E08E2" w:rsidP="003E08E2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  <w:color w:val="000000"/>
        </w:rPr>
      </w:pPr>
    </w:p>
    <w:p w:rsidR="003E08E2" w:rsidRPr="00567C11" w:rsidRDefault="003E08E2" w:rsidP="003E08E2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8"/>
          <w:rFonts w:ascii="Times New Roman CYR" w:eastAsia="Times New Roman" w:hAnsi="Times New Roman CYR" w:cs="Arial"/>
          <w:b/>
          <w:caps/>
          <w:color w:val="000000"/>
          <w:szCs w:val="20"/>
          <w:vertAlign w:val="superscript"/>
          <w:lang w:eastAsia="ar-SA"/>
        </w:rPr>
      </w:pPr>
      <w:bookmarkStart w:id="0" w:name="_GoBack"/>
      <w:r w:rsidRPr="00567C11">
        <w:rPr>
          <w:rStyle w:val="a8"/>
          <w:rFonts w:ascii="Times New Roman CYR" w:eastAsia="Times New Roman" w:hAnsi="Times New Roman CYR" w:cs="Arial"/>
          <w:caps/>
          <w:color w:val="000000"/>
          <w:szCs w:val="20"/>
          <w:lang w:eastAsia="ar-SA"/>
        </w:rPr>
        <w:t xml:space="preserve">заявление на перевод обязательств и обеспечения </w:t>
      </w:r>
      <w:bookmarkEnd w:id="0"/>
      <w:r w:rsidRPr="00567C11">
        <w:rPr>
          <w:rStyle w:val="a8"/>
          <w:rFonts w:ascii="Times New Roman CYR" w:eastAsia="Times New Roman" w:hAnsi="Times New Roman CYR" w:cs="Arial"/>
          <w:caps/>
          <w:color w:val="000000"/>
          <w:szCs w:val="20"/>
          <w:vertAlign w:val="superscript"/>
          <w:lang w:eastAsia="ar-SA"/>
        </w:rPr>
        <w:t>1</w:t>
      </w:r>
    </w:p>
    <w:p w:rsidR="003E08E2" w:rsidRPr="00567C11" w:rsidRDefault="003E08E2" w:rsidP="003E08E2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</w:p>
    <w:p w:rsidR="003E08E2" w:rsidRPr="00567C11" w:rsidRDefault="003E08E2" w:rsidP="003E08E2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  <w:r w:rsidRPr="00567C11">
        <w:rPr>
          <w:b/>
          <w:noProof/>
          <w:color w:val="000000"/>
          <w:sz w:val="24"/>
          <w:szCs w:val="24"/>
        </w:rPr>
        <w:t>____________________________________________________________________________</w:t>
      </w:r>
      <w:r w:rsidRPr="00567C11">
        <w:rPr>
          <w:i/>
          <w:color w:val="000000"/>
        </w:rPr>
        <w:t>*</w:t>
      </w:r>
      <w:r w:rsidRPr="00567C11">
        <w:rPr>
          <w:b/>
          <w:noProof/>
          <w:color w:val="000000"/>
          <w:sz w:val="24"/>
          <w:szCs w:val="24"/>
        </w:rPr>
        <w:t>,</w:t>
      </w:r>
    </w:p>
    <w:p w:rsidR="003E08E2" w:rsidRPr="00567C11" w:rsidRDefault="003E08E2" w:rsidP="003E08E2">
      <w:pPr>
        <w:jc w:val="center"/>
        <w:rPr>
          <w:color w:val="000000"/>
          <w:sz w:val="22"/>
          <w:szCs w:val="22"/>
        </w:rPr>
      </w:pPr>
      <w:r w:rsidRPr="00567C11">
        <w:rPr>
          <w:color w:val="000000"/>
        </w:rPr>
        <w:t>(</w:t>
      </w:r>
      <w:r w:rsidRPr="00567C11">
        <w:rPr>
          <w:i/>
          <w:color w:val="000000"/>
        </w:rPr>
        <w:t xml:space="preserve">наименование/ФИО Обособленного клиента </w:t>
      </w:r>
      <w:r w:rsidRPr="00567C11">
        <w:rPr>
          <w:i/>
          <w:color w:val="000000"/>
          <w:vertAlign w:val="superscript"/>
        </w:rPr>
        <w:t>2</w:t>
      </w:r>
      <w:r w:rsidRPr="00567C11">
        <w:rPr>
          <w:color w:val="000000"/>
        </w:rPr>
        <w:t>)</w:t>
      </w:r>
    </w:p>
    <w:p w:rsidR="003E08E2" w:rsidRPr="00567C11" w:rsidDel="00105D99" w:rsidRDefault="003E08E2" w:rsidP="003E08E2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color w:val="000000"/>
          <w:sz w:val="24"/>
          <w:szCs w:val="24"/>
        </w:rPr>
      </w:pPr>
      <w:r w:rsidRPr="00567C11">
        <w:rPr>
          <w:b/>
          <w:noProof/>
          <w:color w:val="000000"/>
          <w:sz w:val="24"/>
          <w:szCs w:val="24"/>
        </w:rPr>
        <w:t>_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6341"/>
      </w:tblGrid>
      <w:tr w:rsidR="003E08E2" w:rsidRPr="00567C11" w:rsidTr="009E14BE">
        <w:tc>
          <w:tcPr>
            <w:tcW w:w="2854" w:type="dxa"/>
            <w:shd w:val="clear" w:color="auto" w:fill="auto"/>
          </w:tcPr>
          <w:p w:rsidR="003E08E2" w:rsidRPr="00567C11" w:rsidRDefault="003E08E2" w:rsidP="009E14BE">
            <w:pPr>
              <w:widowControl w:val="0"/>
              <w:tabs>
                <w:tab w:val="left" w:leader="underscore" w:pos="7550"/>
                <w:tab w:val="right" w:pos="9356"/>
              </w:tabs>
              <w:overflowPunct/>
              <w:spacing w:line="36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567C11">
              <w:rPr>
                <w:bCs/>
                <w:color w:val="000000"/>
                <w:sz w:val="24"/>
                <w:szCs w:val="24"/>
              </w:rPr>
              <w:t xml:space="preserve">Идентификационные данные клиента* </w:t>
            </w:r>
          </w:p>
        </w:tc>
        <w:tc>
          <w:tcPr>
            <w:tcW w:w="6341" w:type="dxa"/>
            <w:shd w:val="clear" w:color="auto" w:fill="auto"/>
          </w:tcPr>
          <w:p w:rsidR="003E08E2" w:rsidRPr="00567C11" w:rsidRDefault="003E08E2" w:rsidP="009E14BE">
            <w:pPr>
              <w:widowControl w:val="0"/>
              <w:tabs>
                <w:tab w:val="left" w:leader="underscore" w:pos="7550"/>
                <w:tab w:val="right" w:pos="9356"/>
              </w:tabs>
              <w:overflowPunct/>
              <w:spacing w:line="36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E08E2" w:rsidRPr="00567C11" w:rsidTr="009E14BE">
        <w:tc>
          <w:tcPr>
            <w:tcW w:w="2854" w:type="dxa"/>
            <w:shd w:val="clear" w:color="auto" w:fill="auto"/>
          </w:tcPr>
          <w:p w:rsidR="003E08E2" w:rsidRPr="00567C11" w:rsidRDefault="003E08E2" w:rsidP="009E14BE">
            <w:pPr>
              <w:widowControl w:val="0"/>
              <w:tabs>
                <w:tab w:val="left" w:leader="underscore" w:pos="7550"/>
                <w:tab w:val="right" w:pos="9356"/>
              </w:tabs>
              <w:overflowPunct/>
              <w:spacing w:line="36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567C11">
              <w:rPr>
                <w:bCs/>
                <w:color w:val="000000"/>
                <w:sz w:val="24"/>
                <w:szCs w:val="24"/>
              </w:rPr>
              <w:t xml:space="preserve">Идентификационные данные клиента второго уровня </w:t>
            </w:r>
          </w:p>
        </w:tc>
        <w:tc>
          <w:tcPr>
            <w:tcW w:w="6341" w:type="dxa"/>
            <w:shd w:val="clear" w:color="auto" w:fill="auto"/>
          </w:tcPr>
          <w:p w:rsidR="003E08E2" w:rsidRPr="00567C11" w:rsidRDefault="003E08E2" w:rsidP="009E14BE">
            <w:pPr>
              <w:widowControl w:val="0"/>
              <w:tabs>
                <w:tab w:val="left" w:leader="underscore" w:pos="7550"/>
                <w:tab w:val="right" w:pos="9356"/>
              </w:tabs>
              <w:overflowPunct/>
              <w:spacing w:line="36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E08E2" w:rsidRPr="00567C11" w:rsidTr="009E14BE">
        <w:tc>
          <w:tcPr>
            <w:tcW w:w="2854" w:type="dxa"/>
            <w:shd w:val="clear" w:color="auto" w:fill="auto"/>
          </w:tcPr>
          <w:p w:rsidR="003E08E2" w:rsidRPr="00567C11" w:rsidRDefault="003E08E2" w:rsidP="009E14BE">
            <w:pPr>
              <w:widowControl w:val="0"/>
              <w:tabs>
                <w:tab w:val="left" w:leader="underscore" w:pos="7550"/>
                <w:tab w:val="right" w:pos="9356"/>
              </w:tabs>
              <w:overflowPunct/>
              <w:spacing w:line="360" w:lineRule="atLeast"/>
              <w:jc w:val="both"/>
              <w:rPr>
                <w:bCs/>
                <w:color w:val="000000"/>
                <w:sz w:val="24"/>
                <w:szCs w:val="24"/>
              </w:rPr>
            </w:pPr>
            <w:r w:rsidRPr="00567C11">
              <w:rPr>
                <w:bCs/>
                <w:color w:val="000000"/>
                <w:sz w:val="24"/>
                <w:szCs w:val="24"/>
              </w:rPr>
              <w:t>Характеристика активов</w:t>
            </w:r>
          </w:p>
        </w:tc>
        <w:tc>
          <w:tcPr>
            <w:tcW w:w="6341" w:type="dxa"/>
            <w:shd w:val="clear" w:color="auto" w:fill="auto"/>
          </w:tcPr>
          <w:p w:rsidR="003E08E2" w:rsidRPr="00567C11" w:rsidRDefault="003E08E2" w:rsidP="009E14BE">
            <w:pPr>
              <w:widowControl w:val="0"/>
              <w:tabs>
                <w:tab w:val="left" w:leader="underscore" w:pos="7550"/>
                <w:tab w:val="right" w:pos="9356"/>
              </w:tabs>
              <w:overflowPunct/>
              <w:spacing w:line="36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3E08E2" w:rsidRPr="00567C11" w:rsidRDefault="003E08E2" w:rsidP="003E08E2">
      <w:pPr>
        <w:jc w:val="center"/>
        <w:rPr>
          <w:color w:val="000000"/>
        </w:rPr>
      </w:pPr>
      <w:r w:rsidRPr="00567C11" w:rsidDel="00425A8C">
        <w:rPr>
          <w:b/>
          <w:noProof/>
          <w:color w:val="000000"/>
          <w:sz w:val="24"/>
          <w:szCs w:val="24"/>
        </w:rPr>
        <w:t xml:space="preserve"> </w:t>
      </w:r>
      <w:r w:rsidRPr="00567C11">
        <w:rPr>
          <w:i/>
          <w:color w:val="000000"/>
        </w:rPr>
        <w:t xml:space="preserve">(идентификационные данные </w:t>
      </w:r>
      <w:r w:rsidRPr="00567C11">
        <w:rPr>
          <w:i/>
          <w:color w:val="000000"/>
          <w:vertAlign w:val="superscript"/>
        </w:rPr>
        <w:t>3</w:t>
      </w:r>
      <w:r w:rsidRPr="00567C11">
        <w:rPr>
          <w:color w:val="000000"/>
        </w:rPr>
        <w:t>)</w:t>
      </w:r>
    </w:p>
    <w:p w:rsidR="003E08E2" w:rsidRPr="00567C11" w:rsidRDefault="003E08E2" w:rsidP="003E08E2">
      <w:pPr>
        <w:jc w:val="center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638"/>
      </w:tblGrid>
      <w:tr w:rsidR="003E08E2" w:rsidRPr="00567C11" w:rsidTr="009E14BE">
        <w:tc>
          <w:tcPr>
            <w:tcW w:w="4707" w:type="dxa"/>
            <w:shd w:val="clear" w:color="auto" w:fill="auto"/>
          </w:tcPr>
          <w:p w:rsidR="003E08E2" w:rsidRPr="00567C11" w:rsidRDefault="003E08E2" w:rsidP="009E14BE">
            <w:pPr>
              <w:rPr>
                <w:bCs/>
                <w:color w:val="000000"/>
                <w:sz w:val="24"/>
                <w:szCs w:val="24"/>
              </w:rPr>
            </w:pPr>
          </w:p>
          <w:p w:rsidR="003E08E2" w:rsidRPr="00567C11" w:rsidRDefault="003E08E2" w:rsidP="009E14BE">
            <w:pPr>
              <w:rPr>
                <w:bCs/>
                <w:color w:val="000000"/>
                <w:sz w:val="24"/>
                <w:szCs w:val="24"/>
              </w:rPr>
            </w:pPr>
            <w:r w:rsidRPr="00567C11">
              <w:rPr>
                <w:bCs/>
                <w:color w:val="000000"/>
                <w:sz w:val="24"/>
                <w:szCs w:val="24"/>
              </w:rPr>
              <w:t>Код Данных регистрации</w:t>
            </w:r>
          </w:p>
          <w:p w:rsidR="003E08E2" w:rsidRPr="00567C11" w:rsidRDefault="003E08E2" w:rsidP="009E14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:rsidR="003E08E2" w:rsidRPr="00567C11" w:rsidRDefault="003E08E2" w:rsidP="009E14BE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3E08E2" w:rsidRPr="00567C11" w:rsidTr="009E14BE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E2" w:rsidRPr="00567C11" w:rsidRDefault="003E08E2" w:rsidP="009E14BE">
            <w:pPr>
              <w:rPr>
                <w:bCs/>
                <w:color w:val="000000"/>
                <w:sz w:val="24"/>
                <w:szCs w:val="24"/>
              </w:rPr>
            </w:pPr>
          </w:p>
          <w:p w:rsidR="003E08E2" w:rsidRPr="00567C11" w:rsidRDefault="003E08E2" w:rsidP="009E14BE">
            <w:pPr>
              <w:rPr>
                <w:bCs/>
                <w:color w:val="000000"/>
                <w:sz w:val="24"/>
                <w:szCs w:val="24"/>
              </w:rPr>
            </w:pPr>
            <w:r w:rsidRPr="00567C11">
              <w:rPr>
                <w:bCs/>
                <w:color w:val="000000"/>
                <w:sz w:val="24"/>
                <w:szCs w:val="24"/>
              </w:rPr>
              <w:t>Идентификационные данные Обособленного клиента*</w:t>
            </w:r>
          </w:p>
          <w:p w:rsidR="003E08E2" w:rsidRPr="00567C11" w:rsidRDefault="003E08E2" w:rsidP="009E14B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E2" w:rsidRPr="00567C11" w:rsidRDefault="003E08E2" w:rsidP="009E14BE">
            <w:r w:rsidRPr="00567C11">
              <w:rPr>
                <w:b/>
                <w:sz w:val="28"/>
                <w:szCs w:val="28"/>
              </w:rPr>
              <w:t xml:space="preserve">□ 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Идентификационные данные клиента</w:t>
            </w:r>
          </w:p>
          <w:p w:rsidR="003E08E2" w:rsidRPr="00567C11" w:rsidRDefault="003E08E2" w:rsidP="009E14BE">
            <w:pPr>
              <w:rPr>
                <w:bCs/>
                <w:color w:val="000000"/>
                <w:sz w:val="24"/>
                <w:szCs w:val="24"/>
              </w:rPr>
            </w:pPr>
            <w:r w:rsidRPr="00567C11">
              <w:rPr>
                <w:b/>
                <w:sz w:val="28"/>
                <w:szCs w:val="28"/>
              </w:rPr>
              <w:t xml:space="preserve">□ </w:t>
            </w:r>
            <w:r w:rsidRPr="00567C11">
              <w:rPr>
                <w:rFonts w:eastAsia="Calibri"/>
                <w:color w:val="000000"/>
                <w:sz w:val="24"/>
                <w:szCs w:val="24"/>
              </w:rPr>
              <w:t>Идентификационные данные клиента второго уровня</w:t>
            </w:r>
          </w:p>
        </w:tc>
      </w:tr>
    </w:tbl>
    <w:p w:rsidR="003E08E2" w:rsidRPr="00567C11" w:rsidRDefault="003E08E2" w:rsidP="003E08E2">
      <w:pPr>
        <w:jc w:val="center"/>
        <w:rPr>
          <w:color w:val="000000"/>
          <w:sz w:val="22"/>
          <w:szCs w:val="22"/>
        </w:rPr>
      </w:pPr>
    </w:p>
    <w:p w:rsidR="003E08E2" w:rsidRPr="00567C11" w:rsidRDefault="003E08E2" w:rsidP="003E08E2">
      <w:pPr>
        <w:spacing w:after="240"/>
        <w:jc w:val="both"/>
        <w:rPr>
          <w:bCs/>
          <w:color w:val="000000"/>
          <w:sz w:val="24"/>
          <w:szCs w:val="24"/>
        </w:rPr>
      </w:pPr>
      <w:r w:rsidRPr="00567C11">
        <w:rPr>
          <w:bCs/>
          <w:color w:val="000000"/>
          <w:sz w:val="24"/>
          <w:szCs w:val="24"/>
        </w:rPr>
        <w:t xml:space="preserve">В соответствии с Правилами клиринга </w:t>
      </w:r>
      <w:r w:rsidRPr="00567C11">
        <w:rPr>
          <w:rFonts w:cs="Arial"/>
          <w:color w:val="000000"/>
          <w:sz w:val="24"/>
          <w:szCs w:val="24"/>
        </w:rPr>
        <w:t>Небанковской кредитной организации-центрального контрагента</w:t>
      </w:r>
      <w:r w:rsidRPr="00567C11">
        <w:rPr>
          <w:bCs/>
          <w:color w:val="000000"/>
          <w:sz w:val="24"/>
          <w:szCs w:val="24"/>
        </w:rPr>
        <w:t xml:space="preserve"> «Национальный Клиринговый Центр» (Акционерное общество) просим осуществить перевод обязательств по Сделкам, учитываемым по Расчетному коду (-</w:t>
      </w:r>
      <w:proofErr w:type="spellStart"/>
      <w:r w:rsidRPr="00567C11">
        <w:rPr>
          <w:bCs/>
          <w:color w:val="000000"/>
          <w:sz w:val="24"/>
          <w:szCs w:val="24"/>
        </w:rPr>
        <w:t>ам</w:t>
      </w:r>
      <w:proofErr w:type="spellEnd"/>
      <w:r w:rsidRPr="00567C11">
        <w:rPr>
          <w:bCs/>
          <w:color w:val="000000"/>
          <w:sz w:val="24"/>
          <w:szCs w:val="24"/>
        </w:rPr>
        <w:t>) / Торгово-клиринговому счету (-</w:t>
      </w:r>
      <w:proofErr w:type="spellStart"/>
      <w:r w:rsidRPr="00567C11">
        <w:rPr>
          <w:bCs/>
          <w:color w:val="000000"/>
          <w:sz w:val="24"/>
          <w:szCs w:val="24"/>
        </w:rPr>
        <w:t>ам</w:t>
      </w:r>
      <w:proofErr w:type="spellEnd"/>
      <w:r w:rsidRPr="00567C11">
        <w:rPr>
          <w:bCs/>
          <w:color w:val="000000"/>
          <w:sz w:val="24"/>
          <w:szCs w:val="24"/>
        </w:rPr>
        <w:t>) / регистру (-</w:t>
      </w:r>
      <w:proofErr w:type="spellStart"/>
      <w:r w:rsidRPr="00567C11">
        <w:rPr>
          <w:bCs/>
          <w:color w:val="000000"/>
          <w:sz w:val="24"/>
          <w:szCs w:val="24"/>
        </w:rPr>
        <w:t>ам</w:t>
      </w:r>
      <w:proofErr w:type="spellEnd"/>
      <w:r w:rsidRPr="00567C11">
        <w:rPr>
          <w:bCs/>
          <w:color w:val="000000"/>
          <w:sz w:val="24"/>
          <w:szCs w:val="24"/>
        </w:rPr>
        <w:t>) учета позиций, соответствующим указанным идентификационным данным клиента, от Участника клиринга</w:t>
      </w:r>
    </w:p>
    <w:p w:rsidR="003E08E2" w:rsidRPr="00567C11" w:rsidRDefault="003E08E2" w:rsidP="003E08E2">
      <w:pPr>
        <w:ind w:right="-57"/>
        <w:jc w:val="both"/>
        <w:rPr>
          <w:i/>
          <w:color w:val="000000"/>
        </w:rPr>
      </w:pPr>
    </w:p>
    <w:p w:rsidR="003E08E2" w:rsidRPr="00567C11" w:rsidRDefault="003E08E2" w:rsidP="003E08E2">
      <w:pPr>
        <w:spacing w:after="240"/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Сведения о Базовом Участнике клиринга:</w:t>
      </w:r>
    </w:p>
    <w:p w:rsidR="003E08E2" w:rsidRPr="00567C11" w:rsidRDefault="003E08E2" w:rsidP="003E08E2">
      <w:pPr>
        <w:spacing w:before="120"/>
        <w:ind w:right="-57"/>
        <w:jc w:val="both"/>
        <w:rPr>
          <w:color w:val="000000"/>
          <w:sz w:val="24"/>
          <w:szCs w:val="24"/>
        </w:rPr>
      </w:pPr>
      <w:r w:rsidRPr="00567C11">
        <w:rPr>
          <w:b/>
          <w:noProof/>
          <w:color w:val="000000"/>
          <w:sz w:val="24"/>
          <w:szCs w:val="24"/>
        </w:rPr>
        <w:t>____________________________________________________________________________</w:t>
      </w:r>
      <w:r w:rsidRPr="00567C11">
        <w:rPr>
          <w:i/>
          <w:color w:val="000000"/>
        </w:rPr>
        <w:t>*</w:t>
      </w:r>
      <w:r w:rsidRPr="00567C11">
        <w:rPr>
          <w:b/>
          <w:noProof/>
          <w:color w:val="000000"/>
          <w:sz w:val="24"/>
          <w:szCs w:val="24"/>
        </w:rPr>
        <w:t>,</w:t>
      </w:r>
      <w:r w:rsidRPr="00567C11">
        <w:rPr>
          <w:color w:val="000000"/>
        </w:rPr>
        <w:t>.</w:t>
      </w:r>
      <w:r w:rsidRPr="00567C11">
        <w:rPr>
          <w:color w:val="000000"/>
          <w:sz w:val="24"/>
          <w:szCs w:val="24"/>
        </w:rPr>
        <w:t xml:space="preserve"> </w:t>
      </w:r>
    </w:p>
    <w:p w:rsidR="003E08E2" w:rsidRPr="00567C11" w:rsidRDefault="003E08E2" w:rsidP="003E08E2">
      <w:pPr>
        <w:ind w:right="-57"/>
        <w:jc w:val="center"/>
        <w:rPr>
          <w:i/>
          <w:color w:val="000000"/>
        </w:rPr>
      </w:pPr>
      <w:r w:rsidRPr="00567C11">
        <w:rPr>
          <w:i/>
          <w:color w:val="000000"/>
        </w:rPr>
        <w:t>(полное наименование Базового Участника клиринга)</w:t>
      </w:r>
    </w:p>
    <w:p w:rsidR="003E08E2" w:rsidRPr="00567C11" w:rsidRDefault="003E08E2" w:rsidP="003E08E2">
      <w:pPr>
        <w:ind w:right="-57"/>
        <w:jc w:val="center"/>
        <w:rPr>
          <w:b/>
          <w:noProof/>
          <w:color w:val="000000"/>
          <w:sz w:val="24"/>
          <w:szCs w:val="24"/>
        </w:rPr>
      </w:pPr>
      <w:r w:rsidRPr="00567C11">
        <w:rPr>
          <w:b/>
          <w:noProof/>
          <w:color w:val="000000"/>
          <w:sz w:val="24"/>
          <w:szCs w:val="24"/>
        </w:rPr>
        <w:t>_____________________________________________________________________________.</w:t>
      </w:r>
    </w:p>
    <w:p w:rsidR="003E08E2" w:rsidRPr="00567C11" w:rsidRDefault="003E08E2" w:rsidP="003E08E2">
      <w:pPr>
        <w:ind w:right="-57"/>
        <w:jc w:val="center"/>
        <w:rPr>
          <w:i/>
          <w:color w:val="000000"/>
        </w:rPr>
      </w:pPr>
      <w:r w:rsidRPr="00567C11">
        <w:rPr>
          <w:i/>
          <w:color w:val="000000"/>
        </w:rPr>
        <w:t xml:space="preserve">(иные сведения о Базовом Участнике клиринга </w:t>
      </w:r>
      <w:r w:rsidRPr="00567C11">
        <w:rPr>
          <w:i/>
          <w:color w:val="000000"/>
          <w:vertAlign w:val="superscript"/>
        </w:rPr>
        <w:t>4</w:t>
      </w:r>
      <w:r w:rsidRPr="00567C11">
        <w:rPr>
          <w:i/>
          <w:color w:val="000000"/>
        </w:rPr>
        <w:t>)</w:t>
      </w:r>
    </w:p>
    <w:p w:rsidR="003E08E2" w:rsidRPr="00567C11" w:rsidRDefault="003E08E2" w:rsidP="003E08E2">
      <w:pPr>
        <w:spacing w:before="120"/>
        <w:ind w:right="-57"/>
        <w:jc w:val="both"/>
        <w:rPr>
          <w:bCs/>
          <w:color w:val="000000"/>
          <w:sz w:val="24"/>
          <w:szCs w:val="24"/>
        </w:rPr>
      </w:pPr>
      <w:r w:rsidRPr="00567C11">
        <w:rPr>
          <w:bCs/>
          <w:color w:val="000000"/>
          <w:sz w:val="24"/>
          <w:szCs w:val="24"/>
        </w:rPr>
        <w:t>к Участнику клиринга</w:t>
      </w:r>
    </w:p>
    <w:p w:rsidR="003E08E2" w:rsidRPr="00567C11" w:rsidRDefault="003E08E2" w:rsidP="003E08E2">
      <w:pPr>
        <w:spacing w:before="120" w:after="240"/>
        <w:rPr>
          <w:bCs/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Сведения об Участнике клиринга-реципиенте:</w:t>
      </w:r>
    </w:p>
    <w:p w:rsidR="003E08E2" w:rsidRPr="00567C11" w:rsidRDefault="003E08E2" w:rsidP="003E08E2">
      <w:pPr>
        <w:spacing w:before="120"/>
        <w:ind w:right="-57"/>
        <w:jc w:val="both"/>
        <w:rPr>
          <w:color w:val="000000"/>
          <w:sz w:val="24"/>
          <w:szCs w:val="24"/>
        </w:rPr>
      </w:pPr>
    </w:p>
    <w:p w:rsidR="003E08E2" w:rsidRPr="00567C11" w:rsidRDefault="003E08E2" w:rsidP="003E08E2">
      <w:pPr>
        <w:spacing w:after="120"/>
        <w:jc w:val="center"/>
        <w:rPr>
          <w:i/>
          <w:color w:val="000000"/>
        </w:rPr>
      </w:pPr>
      <w:r w:rsidRPr="00567C11">
        <w:rPr>
          <w:b/>
          <w:noProof/>
          <w:color w:val="000000"/>
          <w:sz w:val="24"/>
          <w:szCs w:val="24"/>
        </w:rPr>
        <w:t>____________________________________________________________________________</w:t>
      </w:r>
      <w:r w:rsidRPr="00567C11">
        <w:rPr>
          <w:i/>
          <w:color w:val="000000"/>
        </w:rPr>
        <w:t>*</w:t>
      </w:r>
      <w:r w:rsidRPr="00567C11">
        <w:rPr>
          <w:b/>
          <w:noProof/>
          <w:color w:val="000000"/>
          <w:sz w:val="24"/>
          <w:szCs w:val="24"/>
        </w:rPr>
        <w:t>,</w:t>
      </w:r>
      <w:r w:rsidRPr="00567C11">
        <w:rPr>
          <w:i/>
          <w:color w:val="000000"/>
        </w:rPr>
        <w:t xml:space="preserve"> (полное наименование Участника клиринга-реципиента)</w:t>
      </w:r>
    </w:p>
    <w:p w:rsidR="003E08E2" w:rsidRPr="00567C11" w:rsidRDefault="003E08E2" w:rsidP="003E08E2">
      <w:pPr>
        <w:jc w:val="center"/>
        <w:rPr>
          <w:b/>
          <w:noProof/>
          <w:color w:val="000000"/>
          <w:sz w:val="24"/>
          <w:szCs w:val="24"/>
        </w:rPr>
      </w:pPr>
      <w:r w:rsidRPr="00567C11">
        <w:rPr>
          <w:b/>
          <w:noProof/>
          <w:color w:val="000000"/>
          <w:sz w:val="24"/>
          <w:szCs w:val="24"/>
        </w:rPr>
        <w:t>_____________________________________________________________________________.</w:t>
      </w:r>
    </w:p>
    <w:p w:rsidR="003E08E2" w:rsidRPr="00567C11" w:rsidRDefault="003E08E2" w:rsidP="003E08E2">
      <w:pPr>
        <w:spacing w:after="120"/>
        <w:jc w:val="center"/>
        <w:rPr>
          <w:i/>
          <w:color w:val="000000"/>
        </w:rPr>
      </w:pPr>
      <w:r w:rsidRPr="00567C11">
        <w:rPr>
          <w:i/>
          <w:color w:val="000000"/>
        </w:rPr>
        <w:t xml:space="preserve">(иные сведения об Участнике клиринга-реципиенте </w:t>
      </w:r>
      <w:r w:rsidRPr="00567C11">
        <w:rPr>
          <w:i/>
          <w:color w:val="000000"/>
          <w:vertAlign w:val="superscript"/>
        </w:rPr>
        <w:t>5</w:t>
      </w:r>
      <w:r w:rsidRPr="00567C11">
        <w:rPr>
          <w:i/>
          <w:color w:val="000000"/>
        </w:rPr>
        <w:t>)</w:t>
      </w:r>
    </w:p>
    <w:p w:rsidR="003E08E2" w:rsidRPr="00567C11" w:rsidRDefault="003E08E2" w:rsidP="003E08E2">
      <w:pPr>
        <w:spacing w:after="120"/>
        <w:jc w:val="center"/>
        <w:rPr>
          <w:i/>
          <w:color w:val="000000"/>
        </w:rPr>
      </w:pPr>
    </w:p>
    <w:p w:rsidR="003E08E2" w:rsidRPr="00567C11" w:rsidRDefault="003E08E2" w:rsidP="003E08E2">
      <w:pPr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на следующих рынках</w:t>
      </w:r>
      <w:r w:rsidRPr="00567C11">
        <w:rPr>
          <w:i/>
          <w:color w:val="000000"/>
        </w:rPr>
        <w:t>*</w:t>
      </w:r>
      <w:r w:rsidRPr="00567C11">
        <w:rPr>
          <w:color w:val="000000"/>
          <w:sz w:val="24"/>
          <w:szCs w:val="24"/>
        </w:rPr>
        <w:t>:</w:t>
      </w:r>
    </w:p>
    <w:p w:rsidR="003E08E2" w:rsidRPr="00567C11" w:rsidRDefault="003E08E2" w:rsidP="003E08E2">
      <w:pPr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3E08E2" w:rsidRPr="00567C11" w:rsidRDefault="003E08E2" w:rsidP="003E08E2">
      <w:pPr>
        <w:jc w:val="both"/>
        <w:rPr>
          <w:i/>
          <w:color w:val="000000"/>
        </w:rPr>
      </w:pPr>
      <w:r w:rsidRPr="00567C11">
        <w:rPr>
          <w:i/>
          <w:color w:val="000000"/>
        </w:rPr>
        <w:t>(перечислить Рынки,</w:t>
      </w:r>
      <w:r w:rsidRPr="00567C11">
        <w:rPr>
          <w:color w:val="000000"/>
        </w:rPr>
        <w:t xml:space="preserve"> </w:t>
      </w:r>
      <w:r w:rsidRPr="00567C11">
        <w:rPr>
          <w:i/>
          <w:color w:val="000000"/>
        </w:rPr>
        <w:t xml:space="preserve">на которых зарегистрирован Обособленный клиент и на которых необходимо осуществить перевод обязательств и Обеспечения </w:t>
      </w:r>
      <w:r w:rsidRPr="00567C11">
        <w:rPr>
          <w:i/>
        </w:rPr>
        <w:t>для которых установлено соответствие с идентификационными данными Обособленного клиента</w:t>
      </w:r>
      <w:r w:rsidRPr="00567C11">
        <w:rPr>
          <w:i/>
          <w:color w:val="000000"/>
        </w:rPr>
        <w:t>)</w:t>
      </w:r>
    </w:p>
    <w:p w:rsidR="003E08E2" w:rsidRPr="00567C11" w:rsidRDefault="003E08E2" w:rsidP="003E08E2">
      <w:pPr>
        <w:jc w:val="both"/>
        <w:rPr>
          <w:color w:val="000000"/>
          <w:sz w:val="24"/>
          <w:szCs w:val="24"/>
        </w:rPr>
      </w:pPr>
    </w:p>
    <w:p w:rsidR="003E08E2" w:rsidRPr="00567C11" w:rsidRDefault="003E08E2" w:rsidP="003E08E2">
      <w:pPr>
        <w:jc w:val="both"/>
        <w:rPr>
          <w:i/>
          <w:color w:val="000000"/>
        </w:rPr>
      </w:pPr>
      <w:r w:rsidRPr="00567C11">
        <w:rPr>
          <w:color w:val="000000"/>
          <w:sz w:val="24"/>
          <w:szCs w:val="24"/>
        </w:rPr>
        <w:t>По следующим основаниям</w:t>
      </w:r>
      <w:r w:rsidRPr="00567C11">
        <w:rPr>
          <w:color w:val="000000"/>
        </w:rPr>
        <w:t xml:space="preserve">: </w:t>
      </w:r>
      <w:r w:rsidRPr="00567C11">
        <w:rPr>
          <w:i/>
          <w:color w:val="000000"/>
        </w:rPr>
        <w:t>(перечислить не менее одного основания в отношении Базового Участника клиринга 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</w:t>
      </w:r>
    </w:p>
    <w:p w:rsidR="003E08E2" w:rsidRPr="00567C11" w:rsidRDefault="003E08E2" w:rsidP="003E08E2">
      <w:pPr>
        <w:rPr>
          <w:color w:val="000000"/>
        </w:rPr>
      </w:pPr>
    </w:p>
    <w:p w:rsidR="003E08E2" w:rsidRPr="00567C11" w:rsidRDefault="003E08E2" w:rsidP="003E08E2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567C11">
        <w:rPr>
          <w:color w:val="000000"/>
          <w:sz w:val="24"/>
          <w:szCs w:val="24"/>
        </w:rPr>
        <w:t>Основания, отличные от оснований, установленных законодательством:</w:t>
      </w:r>
      <w:r w:rsidRPr="00567C11">
        <w:rPr>
          <w:i/>
          <w:color w:val="000000"/>
        </w:rPr>
        <w:t xml:space="preserve"> </w:t>
      </w:r>
    </w:p>
    <w:p w:rsidR="003E08E2" w:rsidRPr="00567C11" w:rsidRDefault="003E08E2" w:rsidP="003E08E2">
      <w:pPr>
        <w:rPr>
          <w:color w:val="000000"/>
        </w:rPr>
      </w:pPr>
    </w:p>
    <w:p w:rsidR="003E08E2" w:rsidRPr="00567C11" w:rsidRDefault="003E08E2" w:rsidP="003E08E2">
      <w:pPr>
        <w:pStyle w:val="a7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7C11">
        <w:rPr>
          <w:rFonts w:ascii="Times New Roman" w:hAnsi="Times New Roman"/>
          <w:color w:val="000000"/>
          <w:sz w:val="24"/>
          <w:szCs w:val="24"/>
        </w:rPr>
        <w:t xml:space="preserve">основания, предусмотренные </w:t>
      </w:r>
      <w:proofErr w:type="spellStart"/>
      <w:r w:rsidRPr="00567C11">
        <w:rPr>
          <w:rFonts w:ascii="Times New Roman" w:hAnsi="Times New Roman"/>
          <w:color w:val="000000"/>
          <w:sz w:val="24"/>
          <w:szCs w:val="24"/>
        </w:rPr>
        <w:t>пп</w:t>
      </w:r>
      <w:proofErr w:type="spellEnd"/>
      <w:r w:rsidRPr="00567C11">
        <w:rPr>
          <w:rFonts w:ascii="Times New Roman" w:hAnsi="Times New Roman"/>
          <w:color w:val="000000"/>
          <w:sz w:val="24"/>
          <w:szCs w:val="24"/>
        </w:rPr>
        <w:t xml:space="preserve">. 15.1.4–15.1.18, 15.19.2–15.19.8, 15.19.10-15.19.11, 15.22.2–15.223 Правил клиринга Небанковской кредитной организации-центрального контрагента «Национальный Клиринговый Центр» (Акционерное общество). Часть </w:t>
      </w:r>
      <w:r w:rsidRPr="00567C1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67C11">
        <w:rPr>
          <w:rFonts w:ascii="Times New Roman" w:hAnsi="Times New Roman"/>
          <w:color w:val="000000"/>
          <w:sz w:val="24"/>
          <w:szCs w:val="24"/>
        </w:rPr>
        <w:t xml:space="preserve">. Общая часть; </w:t>
      </w:r>
    </w:p>
    <w:p w:rsidR="003E08E2" w:rsidRPr="00567C11" w:rsidRDefault="003E08E2" w:rsidP="003E08E2">
      <w:pPr>
        <w:pStyle w:val="a7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7C11">
        <w:rPr>
          <w:rFonts w:ascii="Times New Roman" w:hAnsi="Times New Roman"/>
          <w:color w:val="000000"/>
          <w:sz w:val="24"/>
          <w:szCs w:val="24"/>
        </w:rPr>
        <w:t>наличие дела о банкротстве в отношении Базового Участника клиринга в производстве арбитражного суда более 2 (двух) месяцев с момента подачи соответствующего заявления;</w:t>
      </w:r>
    </w:p>
    <w:p w:rsidR="003E08E2" w:rsidRPr="00567C11" w:rsidRDefault="003E08E2" w:rsidP="003E08E2">
      <w:pPr>
        <w:pStyle w:val="a7"/>
        <w:numPr>
          <w:ilvl w:val="0"/>
          <w:numId w:val="1"/>
        </w:numPr>
        <w:spacing w:line="240" w:lineRule="auto"/>
        <w:ind w:left="426" w:hanging="426"/>
        <w:jc w:val="both"/>
        <w:rPr>
          <w:color w:val="000000"/>
        </w:rPr>
      </w:pPr>
      <w:r w:rsidRPr="00567C11">
        <w:rPr>
          <w:rFonts w:ascii="Times New Roman" w:hAnsi="Times New Roman"/>
          <w:color w:val="000000"/>
          <w:sz w:val="24"/>
          <w:szCs w:val="24"/>
        </w:rPr>
        <w:t>нарушение Базовым Участником клиринга правил российских или иностранных организатора торгов или клиринговой организации;</w:t>
      </w:r>
      <w:r w:rsidRPr="00567C11" w:rsidDel="000A2E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08E2" w:rsidRPr="00567C11" w:rsidRDefault="003E08E2" w:rsidP="003E08E2">
      <w:pPr>
        <w:pStyle w:val="a7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7C11">
        <w:rPr>
          <w:rFonts w:ascii="Times New Roman" w:hAnsi="Times New Roman"/>
          <w:color w:val="000000"/>
          <w:sz w:val="24"/>
          <w:szCs w:val="24"/>
        </w:rPr>
        <w:t>включение в повестку дня органов управления Базового Участника клиринга вопроса о ликвидации Базового Участника клиринга либо принятие решения органами управления Базового Участника клиринга о ликвидации Базового Участника клиринга;</w:t>
      </w:r>
    </w:p>
    <w:p w:rsidR="003E08E2" w:rsidRPr="00567C11" w:rsidRDefault="003E08E2" w:rsidP="003E08E2">
      <w:pPr>
        <w:pStyle w:val="a7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7C11">
        <w:rPr>
          <w:rFonts w:ascii="Times New Roman" w:hAnsi="Times New Roman"/>
          <w:color w:val="000000"/>
          <w:sz w:val="24"/>
          <w:szCs w:val="24"/>
        </w:rPr>
        <w:t>принятие органами управления Базового Участника клиринга решения о реорганизации Базового Участника клиринга (за исключением случаев реорганизации, которые не влекут прекращения деятельности Базового Участника клиринга, и реорганизации в форме преобразования);</w:t>
      </w:r>
    </w:p>
    <w:p w:rsidR="003E08E2" w:rsidRPr="00567C11" w:rsidRDefault="003E08E2" w:rsidP="003E08E2">
      <w:pPr>
        <w:pStyle w:val="a7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7C11">
        <w:rPr>
          <w:rFonts w:ascii="Times New Roman" w:hAnsi="Times New Roman"/>
          <w:color w:val="000000"/>
          <w:sz w:val="24"/>
          <w:szCs w:val="24"/>
        </w:rPr>
        <w:t>принятие судебного акта о взыскании, наложении ареста либо ином обременении в отношении имущества Базового Участника клиринга;</w:t>
      </w:r>
    </w:p>
    <w:p w:rsidR="003E08E2" w:rsidRPr="00567C11" w:rsidRDefault="003E08E2" w:rsidP="003E08E2">
      <w:pPr>
        <w:pStyle w:val="a7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7C11">
        <w:rPr>
          <w:rFonts w:ascii="Times New Roman" w:hAnsi="Times New Roman"/>
          <w:color w:val="000000"/>
          <w:sz w:val="24"/>
          <w:szCs w:val="24"/>
        </w:rPr>
        <w:t>наличие Задолженности Базового Участника клиринга, не погашенной в установленные временными регламентами сроки;</w:t>
      </w:r>
    </w:p>
    <w:p w:rsidR="003E08E2" w:rsidRPr="00567C11" w:rsidRDefault="003E08E2" w:rsidP="003E08E2">
      <w:pPr>
        <w:pStyle w:val="a7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7C11">
        <w:rPr>
          <w:rFonts w:ascii="Times New Roman" w:hAnsi="Times New Roman"/>
          <w:color w:val="000000"/>
          <w:sz w:val="24"/>
          <w:szCs w:val="24"/>
        </w:rPr>
        <w:t>предоставление Базовым Участником клиринга Клиринговому центру поручения на перевод обязательств и Обеспечения.</w:t>
      </w:r>
    </w:p>
    <w:p w:rsidR="003E08E2" w:rsidRPr="00465A39" w:rsidRDefault="003E08E2" w:rsidP="003E08E2">
      <w:pPr>
        <w:numPr>
          <w:ilvl w:val="0"/>
          <w:numId w:val="2"/>
        </w:numPr>
        <w:rPr>
          <w:color w:val="000000"/>
          <w:sz w:val="24"/>
          <w:szCs w:val="24"/>
        </w:rPr>
      </w:pPr>
      <w:r w:rsidRPr="00465A39">
        <w:rPr>
          <w:color w:val="000000"/>
          <w:sz w:val="24"/>
          <w:szCs w:val="24"/>
        </w:rPr>
        <w:t>Основания, установленные законодательством:</w:t>
      </w:r>
    </w:p>
    <w:p w:rsidR="003E08E2" w:rsidRPr="00567C11" w:rsidRDefault="003E08E2" w:rsidP="003E08E2">
      <w:pPr>
        <w:pStyle w:val="a7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7C11">
        <w:rPr>
          <w:rFonts w:ascii="Times New Roman" w:hAnsi="Times New Roman"/>
          <w:color w:val="000000"/>
          <w:sz w:val="24"/>
          <w:szCs w:val="24"/>
        </w:rPr>
        <w:t xml:space="preserve">отзыв Банком России лицензии на осуществление банковских операций у Базового Участника клиринга – кредитной организации. </w:t>
      </w:r>
    </w:p>
    <w:p w:rsidR="003E08E2" w:rsidRPr="00567C11" w:rsidRDefault="003E08E2" w:rsidP="003E08E2">
      <w:pPr>
        <w:pStyle w:val="a7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7C11">
        <w:rPr>
          <w:rFonts w:ascii="Times New Roman" w:hAnsi="Times New Roman"/>
          <w:color w:val="000000"/>
          <w:sz w:val="24"/>
          <w:szCs w:val="24"/>
        </w:rPr>
        <w:t xml:space="preserve">назначение временной администрации в отношении Базового Участника клиринга – </w:t>
      </w:r>
      <w:proofErr w:type="spellStart"/>
      <w:r w:rsidRPr="00567C11">
        <w:rPr>
          <w:rFonts w:ascii="Times New Roman" w:hAnsi="Times New Roman"/>
          <w:color w:val="000000"/>
          <w:sz w:val="24"/>
          <w:szCs w:val="24"/>
        </w:rPr>
        <w:t>Некредитной</w:t>
      </w:r>
      <w:proofErr w:type="spellEnd"/>
      <w:r w:rsidRPr="00567C11">
        <w:rPr>
          <w:rFonts w:ascii="Times New Roman" w:hAnsi="Times New Roman"/>
          <w:color w:val="000000"/>
          <w:sz w:val="24"/>
          <w:szCs w:val="24"/>
        </w:rPr>
        <w:t xml:space="preserve"> организации. </w:t>
      </w:r>
    </w:p>
    <w:p w:rsidR="003E08E2" w:rsidRPr="00567C11" w:rsidRDefault="003E08E2" w:rsidP="003E08E2">
      <w:pPr>
        <w:pStyle w:val="a7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67C11">
        <w:rPr>
          <w:rFonts w:ascii="Times New Roman" w:hAnsi="Times New Roman"/>
          <w:color w:val="000000"/>
          <w:sz w:val="24"/>
          <w:szCs w:val="24"/>
        </w:rPr>
        <w:t xml:space="preserve">принятие арбитражным судом решения о введении в отношении Базового Участника клиринга – </w:t>
      </w:r>
      <w:proofErr w:type="spellStart"/>
      <w:r w:rsidRPr="00567C11">
        <w:rPr>
          <w:rFonts w:ascii="Times New Roman" w:hAnsi="Times New Roman"/>
          <w:color w:val="000000"/>
          <w:sz w:val="24"/>
          <w:szCs w:val="24"/>
        </w:rPr>
        <w:t>Некредитной</w:t>
      </w:r>
      <w:proofErr w:type="spellEnd"/>
      <w:r w:rsidRPr="00567C11">
        <w:rPr>
          <w:rFonts w:ascii="Times New Roman" w:hAnsi="Times New Roman"/>
          <w:color w:val="000000"/>
          <w:sz w:val="24"/>
          <w:szCs w:val="24"/>
        </w:rPr>
        <w:t xml:space="preserve"> организации одной из процедур банкротства</w:t>
      </w:r>
      <w:r w:rsidRPr="00567C11">
        <w:rPr>
          <w:rFonts w:ascii="Times New Roman" w:hAnsi="Times New Roman"/>
          <w:color w:val="000000"/>
        </w:rPr>
        <w:t>.</w:t>
      </w:r>
    </w:p>
    <w:p w:rsidR="003E08E2" w:rsidRPr="00567C11" w:rsidRDefault="003E08E2" w:rsidP="003E08E2">
      <w:pPr>
        <w:ind w:right="-58" w:firstLine="709"/>
        <w:rPr>
          <w:color w:val="000000"/>
        </w:rPr>
      </w:pPr>
    </w:p>
    <w:p w:rsidR="003E08E2" w:rsidRPr="00567C11" w:rsidRDefault="003E08E2" w:rsidP="003E08E2">
      <w:pPr>
        <w:pStyle w:val="a9"/>
        <w:spacing w:line="240" w:lineRule="auto"/>
        <w:ind w:left="0" w:firstLine="0"/>
        <w:jc w:val="both"/>
        <w:rPr>
          <w:color w:val="000000"/>
          <w:sz w:val="22"/>
          <w:szCs w:val="22"/>
          <w:lang w:eastAsia="en-US"/>
        </w:rPr>
      </w:pPr>
      <w:r w:rsidRPr="00567C11">
        <w:rPr>
          <w:color w:val="000000"/>
          <w:sz w:val="22"/>
          <w:szCs w:val="22"/>
          <w:lang w:eastAsia="en-US"/>
        </w:rPr>
        <w:t>В случае указания основания, являющегося основанием, установленным законодательством, допустимо указание:</w:t>
      </w:r>
    </w:p>
    <w:p w:rsidR="003E08E2" w:rsidRPr="00567C11" w:rsidRDefault="003E08E2" w:rsidP="003E08E2">
      <w:pPr>
        <w:pStyle w:val="a9"/>
        <w:spacing w:line="240" w:lineRule="auto"/>
        <w:ind w:left="0" w:firstLine="0"/>
        <w:rPr>
          <w:color w:val="000000"/>
          <w:sz w:val="22"/>
          <w:szCs w:val="22"/>
          <w:lang w:eastAsia="en-US"/>
        </w:rPr>
      </w:pPr>
      <w:r w:rsidRPr="00567C11">
        <w:rPr>
          <w:rFonts w:ascii="MS Gothic" w:eastAsia="MS Gothic" w:hAnsi="MS Gothic" w:hint="eastAsia"/>
          <w:color w:val="000000"/>
          <w:sz w:val="22"/>
          <w:szCs w:val="22"/>
        </w:rPr>
        <w:t xml:space="preserve">☐ </w:t>
      </w:r>
      <w:r w:rsidRPr="00567C11">
        <w:rPr>
          <w:color w:val="000000"/>
          <w:sz w:val="22"/>
          <w:szCs w:val="22"/>
        </w:rPr>
        <w:t>выполнить данное заявление в случае наступления указанного основания</w:t>
      </w:r>
      <w:r w:rsidRPr="00567C11">
        <w:rPr>
          <w:color w:val="000000"/>
          <w:sz w:val="22"/>
          <w:szCs w:val="22"/>
          <w:vertAlign w:val="superscript"/>
        </w:rPr>
        <w:t>5</w:t>
      </w:r>
      <w:r w:rsidRPr="00567C11">
        <w:rPr>
          <w:color w:val="000000"/>
          <w:sz w:val="22"/>
          <w:szCs w:val="22"/>
        </w:rPr>
        <w:t>.</w:t>
      </w:r>
    </w:p>
    <w:p w:rsidR="003E08E2" w:rsidRPr="00567C11" w:rsidRDefault="003E08E2" w:rsidP="003E08E2">
      <w:pPr>
        <w:pStyle w:val="a9"/>
        <w:spacing w:line="240" w:lineRule="atLeast"/>
        <w:ind w:left="0" w:firstLine="0"/>
        <w:jc w:val="both"/>
        <w:rPr>
          <w:rFonts w:ascii="Times New Roman" w:hAnsi="Times New Roman"/>
          <w:iCs/>
          <w:noProof w:val="0"/>
          <w:color w:val="000000"/>
          <w:sz w:val="22"/>
          <w:szCs w:val="22"/>
        </w:rPr>
      </w:pPr>
    </w:p>
    <w:p w:rsidR="003E08E2" w:rsidRPr="00567C11" w:rsidRDefault="003E08E2" w:rsidP="003E08E2">
      <w:pPr>
        <w:pStyle w:val="a9"/>
        <w:spacing w:line="240" w:lineRule="atLeast"/>
        <w:ind w:left="0" w:firstLine="0"/>
        <w:jc w:val="both"/>
        <w:rPr>
          <w:rFonts w:ascii="Times New Roman" w:hAnsi="Times New Roman"/>
          <w:iCs/>
          <w:noProof w:val="0"/>
          <w:color w:val="000000"/>
          <w:sz w:val="22"/>
          <w:szCs w:val="22"/>
        </w:rPr>
      </w:pPr>
      <w:r w:rsidRPr="00567C11">
        <w:rPr>
          <w:rFonts w:ascii="Times New Roman" w:hAnsi="Times New Roman"/>
          <w:iCs/>
          <w:noProof w:val="0"/>
          <w:color w:val="000000"/>
          <w:sz w:val="22"/>
          <w:szCs w:val="22"/>
        </w:rPr>
        <w:t>Предпочтительный способ информирования Обособленного клиента</w:t>
      </w:r>
      <w:r w:rsidRPr="00567C11">
        <w:rPr>
          <w:i/>
          <w:color w:val="000000"/>
        </w:rPr>
        <w:t>*</w:t>
      </w:r>
      <w:r w:rsidRPr="00567C11">
        <w:rPr>
          <w:rFonts w:ascii="Times New Roman" w:hAnsi="Times New Roman"/>
          <w:iCs/>
          <w:noProof w:val="0"/>
          <w:color w:val="000000"/>
          <w:sz w:val="22"/>
          <w:szCs w:val="22"/>
        </w:rPr>
        <w:t>:</w:t>
      </w:r>
    </w:p>
    <w:p w:rsidR="003E08E2" w:rsidRPr="00567C11" w:rsidRDefault="003E08E2" w:rsidP="003E08E2">
      <w:pPr>
        <w:pStyle w:val="a9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  <w:r w:rsidRPr="00567C11">
        <w:rPr>
          <w:rFonts w:ascii="Times New Roman" w:hAnsi="Times New Roman"/>
          <w:i/>
          <w:noProof w:val="0"/>
          <w:color w:val="000000"/>
        </w:rPr>
        <w:t>_________________________________________________________________</w:t>
      </w:r>
    </w:p>
    <w:p w:rsidR="003E08E2" w:rsidRPr="00567C11" w:rsidRDefault="003E08E2" w:rsidP="003E08E2">
      <w:pPr>
        <w:tabs>
          <w:tab w:val="right" w:pos="9356"/>
        </w:tabs>
        <w:overflowPunct/>
        <w:autoSpaceDE/>
        <w:autoSpaceDN/>
        <w:adjustRightInd/>
        <w:textAlignment w:val="auto"/>
        <w:rPr>
          <w:i/>
          <w:color w:val="000000"/>
        </w:rPr>
      </w:pPr>
      <w:r w:rsidRPr="00567C11">
        <w:rPr>
          <w:i/>
          <w:color w:val="000000"/>
        </w:rPr>
        <w:t>(указать один из способов информирования: электронная почта или ЭДО</w:t>
      </w:r>
      <w:bookmarkStart w:id="1" w:name="_Hlk62729217"/>
      <w:r w:rsidRPr="00567C11">
        <w:rPr>
          <w:i/>
          <w:color w:val="000000"/>
        </w:rPr>
        <w:t>)</w:t>
      </w:r>
    </w:p>
    <w:p w:rsidR="003E08E2" w:rsidRPr="00567C11" w:rsidRDefault="003E08E2" w:rsidP="003E08E2">
      <w:pPr>
        <w:pStyle w:val="a9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</w:p>
    <w:p w:rsidR="003E08E2" w:rsidRPr="00567C11" w:rsidRDefault="003E08E2" w:rsidP="003E08E2">
      <w:pPr>
        <w:pStyle w:val="a9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</w:p>
    <w:p w:rsidR="003E08E2" w:rsidRPr="00567C11" w:rsidRDefault="003E08E2" w:rsidP="003E08E2">
      <w:pPr>
        <w:pStyle w:val="a9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</w:p>
    <w:p w:rsidR="003E08E2" w:rsidRPr="00567C11" w:rsidRDefault="003E08E2" w:rsidP="003E08E2">
      <w:pPr>
        <w:pStyle w:val="a9"/>
        <w:spacing w:line="240" w:lineRule="auto"/>
        <w:ind w:left="0" w:firstLine="0"/>
        <w:rPr>
          <w:rFonts w:ascii="Times New Roman" w:hAnsi="Times New Roman"/>
          <w:i/>
          <w:noProof w:val="0"/>
          <w:color w:val="000000"/>
        </w:rPr>
      </w:pPr>
      <w:r w:rsidRPr="00567C11">
        <w:rPr>
          <w:rFonts w:ascii="Times New Roman" w:hAnsi="Times New Roman"/>
          <w:i/>
          <w:noProof w:val="0"/>
          <w:color w:val="000000"/>
        </w:rPr>
        <w:t xml:space="preserve">(Должность </w:t>
      </w:r>
      <w:proofErr w:type="gramStart"/>
      <w:r w:rsidRPr="00567C11">
        <w:rPr>
          <w:rFonts w:ascii="Times New Roman" w:hAnsi="Times New Roman"/>
          <w:i/>
          <w:noProof w:val="0"/>
          <w:color w:val="000000"/>
        </w:rPr>
        <w:t xml:space="preserve">руководителя)   </w:t>
      </w:r>
      <w:proofErr w:type="gramEnd"/>
      <w:r w:rsidRPr="00567C11">
        <w:rPr>
          <w:rFonts w:ascii="Times New Roman" w:hAnsi="Times New Roman"/>
          <w:i/>
          <w:noProof w:val="0"/>
          <w:color w:val="000000"/>
        </w:rPr>
        <w:t xml:space="preserve">                                                __________________ / Ф.И.О. /</w:t>
      </w:r>
    </w:p>
    <w:p w:rsidR="003E08E2" w:rsidRPr="00567C11" w:rsidRDefault="003E08E2" w:rsidP="003E08E2">
      <w:pPr>
        <w:pStyle w:val="a9"/>
        <w:spacing w:line="240" w:lineRule="auto"/>
        <w:ind w:left="0" w:firstLine="0"/>
        <w:rPr>
          <w:rFonts w:ascii="Times New Roman" w:hAnsi="Times New Roman"/>
          <w:noProof w:val="0"/>
          <w:color w:val="000000"/>
          <w:sz w:val="16"/>
          <w:szCs w:val="16"/>
        </w:rPr>
      </w:pPr>
    </w:p>
    <w:p w:rsidR="003E08E2" w:rsidRPr="00567C11" w:rsidRDefault="003E08E2" w:rsidP="003E08E2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lastRenderedPageBreak/>
        <w:t xml:space="preserve">                                                                             </w:t>
      </w:r>
      <w:proofErr w:type="spellStart"/>
      <w:r w:rsidRPr="00567C11">
        <w:rPr>
          <w:rFonts w:cs="Arial"/>
          <w:color w:val="000000"/>
          <w:sz w:val="24"/>
          <w:szCs w:val="24"/>
        </w:rPr>
        <w:t>м.п</w:t>
      </w:r>
      <w:proofErr w:type="spellEnd"/>
      <w:r w:rsidRPr="00567C11">
        <w:rPr>
          <w:rFonts w:cs="Arial"/>
          <w:color w:val="000000"/>
          <w:sz w:val="24"/>
          <w:szCs w:val="24"/>
        </w:rPr>
        <w:t>.</w:t>
      </w:r>
    </w:p>
    <w:p w:rsidR="003E08E2" w:rsidRPr="00567C11" w:rsidRDefault="003E08E2" w:rsidP="003E08E2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  <w:r w:rsidRPr="00567C11">
        <w:rPr>
          <w:rFonts w:cs="Arial"/>
          <w:color w:val="000000"/>
          <w:sz w:val="24"/>
          <w:szCs w:val="24"/>
        </w:rPr>
        <w:t>«____» ___________ 20___год.</w:t>
      </w:r>
    </w:p>
    <w:p w:rsidR="003E08E2" w:rsidRPr="00567C11" w:rsidRDefault="003E08E2" w:rsidP="003E08E2">
      <w:pPr>
        <w:widowControl w:val="0"/>
        <w:tabs>
          <w:tab w:val="right" w:pos="9356"/>
        </w:tabs>
        <w:overflowPunct/>
        <w:jc w:val="both"/>
        <w:rPr>
          <w:rFonts w:cs="Arial"/>
          <w:color w:val="000000"/>
          <w:sz w:val="24"/>
          <w:szCs w:val="24"/>
        </w:rPr>
      </w:pPr>
    </w:p>
    <w:p w:rsidR="003E08E2" w:rsidRPr="00567C11" w:rsidRDefault="003E08E2" w:rsidP="003E08E2">
      <w:pPr>
        <w:pStyle w:val="a3"/>
        <w:widowControl w:val="0"/>
        <w:tabs>
          <w:tab w:val="right" w:pos="9356"/>
        </w:tabs>
        <w:overflowPunct/>
        <w:spacing w:after="120"/>
        <w:ind w:firstLine="0"/>
        <w:rPr>
          <w:rFonts w:cs="Arial"/>
          <w:b w:val="0"/>
          <w:bCs w:val="0"/>
          <w:color w:val="000000"/>
          <w:sz w:val="20"/>
        </w:rPr>
      </w:pPr>
      <w:r w:rsidRPr="00567C11">
        <w:rPr>
          <w:rFonts w:cs="Arial"/>
          <w:b w:val="0"/>
          <w:bCs w:val="0"/>
          <w:color w:val="000000"/>
          <w:sz w:val="20"/>
        </w:rPr>
        <w:t>Исполнитель Ф.И.О., телефон _________________</w:t>
      </w:r>
    </w:p>
    <w:p w:rsidR="003E08E2" w:rsidRPr="00567C11" w:rsidRDefault="003E08E2" w:rsidP="003E08E2">
      <w:pPr>
        <w:spacing w:after="120"/>
        <w:jc w:val="both"/>
        <w:rPr>
          <w:color w:val="000000"/>
        </w:rPr>
      </w:pPr>
      <w:r w:rsidRPr="00567C11">
        <w:rPr>
          <w:color w:val="000000"/>
        </w:rPr>
        <w:t>* Поля, обязательные для заполнения. Поля, не отмеченные «*» заполняются либо в соответствии с цифровыми сносками.</w:t>
      </w:r>
    </w:p>
    <w:p w:rsidR="003E08E2" w:rsidRPr="00567C11" w:rsidRDefault="003E08E2" w:rsidP="003E08E2">
      <w:pPr>
        <w:spacing w:after="120"/>
        <w:jc w:val="both"/>
        <w:rPr>
          <w:color w:val="000000"/>
        </w:rPr>
      </w:pPr>
      <w:r w:rsidRPr="00567C11">
        <w:rPr>
          <w:color w:val="000000"/>
          <w:vertAlign w:val="superscript"/>
        </w:rPr>
        <w:t>1</w:t>
      </w:r>
      <w:r w:rsidRPr="00567C11">
        <w:rPr>
          <w:color w:val="000000"/>
        </w:rPr>
        <w:t xml:space="preserve"> – В случае перевода обязательств и Обеспечения к разным Участникам клиринга-реципиентам на разных Рынках Обособленному клиенту необходимо подать Заявление по каждому Участнику клиринга-реципиенту отдельно.</w:t>
      </w:r>
    </w:p>
    <w:p w:rsidR="003E08E2" w:rsidRPr="00567C11" w:rsidRDefault="003E08E2" w:rsidP="003E08E2">
      <w:pPr>
        <w:spacing w:after="120"/>
        <w:jc w:val="both"/>
        <w:rPr>
          <w:color w:val="000000"/>
        </w:rPr>
      </w:pPr>
      <w:r w:rsidRPr="00567C11">
        <w:rPr>
          <w:color w:val="000000"/>
          <w:vertAlign w:val="superscript"/>
        </w:rPr>
        <w:t>2</w:t>
      </w:r>
      <w:r w:rsidRPr="00567C11">
        <w:rPr>
          <w:color w:val="000000"/>
        </w:rPr>
        <w:t xml:space="preserve"> – Указывается наименование в соответствии с учредительными документами.</w:t>
      </w:r>
    </w:p>
    <w:p w:rsidR="003E08E2" w:rsidRPr="00567C11" w:rsidRDefault="003E08E2" w:rsidP="003E08E2">
      <w:pPr>
        <w:spacing w:after="120"/>
        <w:jc w:val="both"/>
        <w:rPr>
          <w:color w:val="000000"/>
        </w:rPr>
      </w:pPr>
      <w:r w:rsidRPr="00567C11">
        <w:rPr>
          <w:color w:val="000000"/>
          <w:vertAlign w:val="superscript"/>
        </w:rPr>
        <w:t>3</w:t>
      </w:r>
      <w:r w:rsidRPr="00567C11">
        <w:rPr>
          <w:color w:val="000000"/>
        </w:rPr>
        <w:t xml:space="preserve"> – Указываются «идентификационные данные клиента», «идентификационные данные клиента второго уровня» (при наличии), «Характеристика активов» (при наличии) в соответствии с данными, которые были указаны в Запросе на регистрацию Обособленного клиента.</w:t>
      </w:r>
    </w:p>
    <w:p w:rsidR="003E08E2" w:rsidRPr="00567C11" w:rsidRDefault="003E08E2" w:rsidP="003E08E2">
      <w:pPr>
        <w:spacing w:after="120"/>
        <w:jc w:val="both"/>
        <w:rPr>
          <w:color w:val="000000"/>
        </w:rPr>
      </w:pPr>
      <w:r w:rsidRPr="00567C11">
        <w:rPr>
          <w:color w:val="000000"/>
          <w:vertAlign w:val="superscript"/>
        </w:rPr>
        <w:t>4</w:t>
      </w:r>
      <w:r w:rsidRPr="00567C11">
        <w:rPr>
          <w:color w:val="000000"/>
        </w:rPr>
        <w:t xml:space="preserve"> – В качестве иных сведений об Участнике клиринга-резиденте могут выступать Уникод, ИНН и ОГРН. Если Участник клиринга является нерезидентом, то в качестве иных сведений могут быть указаны ИНН иностранного лица, или налоговый номер в стране регистрации, или регистрационный номер в стране регистрации и др. Поле является необязательным для заполнения.</w:t>
      </w:r>
    </w:p>
    <w:p w:rsidR="003E08E2" w:rsidRPr="00567C11" w:rsidRDefault="003E08E2" w:rsidP="003E08E2">
      <w:pPr>
        <w:pStyle w:val="a5"/>
        <w:spacing w:before="0" w:beforeAutospacing="0" w:after="90" w:afterAutospacing="0"/>
        <w:jc w:val="both"/>
        <w:rPr>
          <w:color w:val="000000"/>
          <w:sz w:val="15"/>
          <w:szCs w:val="15"/>
        </w:rPr>
      </w:pPr>
      <w:r w:rsidRPr="00567C11">
        <w:rPr>
          <w:color w:val="000000"/>
          <w:vertAlign w:val="superscript"/>
        </w:rPr>
        <w:t>5</w:t>
      </w:r>
      <w:r w:rsidRPr="00567C11">
        <w:rPr>
          <w:color w:val="000000"/>
        </w:rPr>
        <w:t xml:space="preserve"> – </w:t>
      </w:r>
      <w:r w:rsidRPr="00567C11">
        <w:rPr>
          <w:color w:val="000000"/>
          <w:sz w:val="20"/>
          <w:szCs w:val="20"/>
        </w:rPr>
        <w:t>При направлении Заявления на перевод обязательств и Обеспечения в Клиринговый центр заранее, до наступления указанных оснований, необходимо заполнить данное поле. Подача заранее данного Заявления доступна при указании только основания(-й), установленного (-ых) законодательством.</w:t>
      </w:r>
      <w:r w:rsidRPr="00567C11">
        <w:rPr>
          <w:color w:val="000000"/>
          <w:sz w:val="15"/>
          <w:szCs w:val="15"/>
        </w:rPr>
        <w:t> </w:t>
      </w:r>
    </w:p>
    <w:p w:rsidR="003E08E2" w:rsidRPr="00567C11" w:rsidRDefault="003E08E2" w:rsidP="003E08E2">
      <w:pPr>
        <w:spacing w:after="120"/>
        <w:jc w:val="both"/>
        <w:rPr>
          <w:color w:val="000000"/>
        </w:rPr>
      </w:pPr>
    </w:p>
    <w:p w:rsidR="003E08E2" w:rsidRPr="00567C11" w:rsidRDefault="003E08E2" w:rsidP="003E08E2">
      <w:pPr>
        <w:jc w:val="both"/>
        <w:rPr>
          <w:rFonts w:cs="Arial"/>
          <w:b/>
          <w:bCs/>
          <w:color w:val="000000"/>
        </w:rPr>
      </w:pPr>
    </w:p>
    <w:bookmarkEnd w:id="1"/>
    <w:p w:rsidR="00373419" w:rsidRDefault="00373419"/>
    <w:sectPr w:rsidR="0037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A5765"/>
    <w:multiLevelType w:val="hybridMultilevel"/>
    <w:tmpl w:val="010A5E76"/>
    <w:lvl w:ilvl="0" w:tplc="F0D81E5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72198"/>
    <w:multiLevelType w:val="hybridMultilevel"/>
    <w:tmpl w:val="EE20F71C"/>
    <w:lvl w:ilvl="0" w:tplc="969C5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E2"/>
    <w:rsid w:val="00090A1E"/>
    <w:rsid w:val="00373419"/>
    <w:rsid w:val="003E08E2"/>
    <w:rsid w:val="009A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59A07-D5EC-48C2-A7F0-AEF1E82B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8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08E2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3E08E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basedOn w:val="a"/>
    <w:uiPriority w:val="99"/>
    <w:rsid w:val="003E08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6">
    <w:name w:val="Текст_"/>
    <w:basedOn w:val="a"/>
    <w:qFormat/>
    <w:rsid w:val="003E08E2"/>
    <w:pPr>
      <w:jc w:val="both"/>
      <w:outlineLvl w:val="2"/>
    </w:pPr>
    <w:rPr>
      <w:bCs/>
      <w:sz w:val="24"/>
      <w:szCs w:val="24"/>
    </w:rPr>
  </w:style>
  <w:style w:type="paragraph" w:styleId="a7">
    <w:name w:val="List Paragraph"/>
    <w:basedOn w:val="a"/>
    <w:uiPriority w:val="34"/>
    <w:qFormat/>
    <w:rsid w:val="003E08E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center">
    <w:name w:val="Head center"/>
    <w:basedOn w:val="a"/>
    <w:qFormat/>
    <w:rsid w:val="003E08E2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3E08E2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8">
    <w:name w:val="Термин"/>
    <w:rsid w:val="003E08E2"/>
    <w:rPr>
      <w:b/>
      <w:bCs/>
    </w:rPr>
  </w:style>
  <w:style w:type="character" w:customStyle="1" w:styleId="10">
    <w:name w:val="Стиль1 Знак"/>
    <w:link w:val="1"/>
    <w:rsid w:val="003E08E2"/>
    <w:rPr>
      <w:rFonts w:ascii="Times New Roman" w:eastAsia="Calibri" w:hAnsi="Times New Roman" w:cs="Times New Roman"/>
      <w:b/>
      <w:sz w:val="24"/>
      <w:szCs w:val="24"/>
    </w:rPr>
  </w:style>
  <w:style w:type="paragraph" w:styleId="a9">
    <w:name w:val="List"/>
    <w:basedOn w:val="a"/>
    <w:rsid w:val="003E08E2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1</cp:revision>
  <dcterms:created xsi:type="dcterms:W3CDTF">2024-06-21T15:43:00Z</dcterms:created>
  <dcterms:modified xsi:type="dcterms:W3CDTF">2024-06-21T15:43:00Z</dcterms:modified>
</cp:coreProperties>
</file>