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9D" w:rsidRDefault="007C039D" w:rsidP="00A464B9"/>
    <w:p w:rsidR="007C039D" w:rsidRPr="007C039D" w:rsidRDefault="00C21CBF" w:rsidP="003004C1">
      <w:pPr>
        <w:jc w:val="center"/>
        <w:outlineLvl w:val="0"/>
        <w:rPr>
          <w:rStyle w:val="msoins0"/>
          <w:b/>
        </w:rPr>
      </w:pPr>
      <w:bookmarkStart w:id="0" w:name="_top"/>
      <w:bookmarkEnd w:id="0"/>
      <w:r w:rsidRPr="007C039D">
        <w:rPr>
          <w:rStyle w:val="msoins0"/>
          <w:b/>
        </w:rPr>
        <w:t>М</w:t>
      </w:r>
      <w:r w:rsidR="007C039D" w:rsidRPr="007C039D">
        <w:rPr>
          <w:rStyle w:val="msoins0"/>
          <w:b/>
        </w:rPr>
        <w:t>ЕТОДИ</w:t>
      </w:r>
      <w:r w:rsidR="000973E6">
        <w:rPr>
          <w:rStyle w:val="msoins0"/>
          <w:b/>
        </w:rPr>
        <w:t>Ч</w:t>
      </w:r>
      <w:r w:rsidR="00272686">
        <w:rPr>
          <w:rStyle w:val="msoins0"/>
          <w:b/>
        </w:rPr>
        <w:t>ЕСКИ</w:t>
      </w:r>
      <w:r w:rsidR="006951ED">
        <w:rPr>
          <w:rStyle w:val="msoins0"/>
          <w:b/>
        </w:rPr>
        <w:t>Е</w:t>
      </w:r>
      <w:r w:rsidR="00272686">
        <w:rPr>
          <w:rStyle w:val="msoins0"/>
          <w:b/>
        </w:rPr>
        <w:t xml:space="preserve"> РЕКОМЕНДАЦИ</w:t>
      </w:r>
      <w:r w:rsidR="006951ED">
        <w:rPr>
          <w:rStyle w:val="msoins0"/>
          <w:b/>
        </w:rPr>
        <w:t>И</w:t>
      </w:r>
    </w:p>
    <w:p w:rsidR="007C039D" w:rsidRDefault="00272686" w:rsidP="00896C7F">
      <w:pPr>
        <w:spacing w:before="120" w:after="120"/>
        <w:jc w:val="center"/>
        <w:outlineLvl w:val="0"/>
        <w:rPr>
          <w:rStyle w:val="msoins0"/>
          <w:b/>
        </w:rPr>
      </w:pPr>
      <w:r>
        <w:rPr>
          <w:rStyle w:val="msoins0"/>
          <w:b/>
        </w:rPr>
        <w:t xml:space="preserve">по </w:t>
      </w:r>
      <w:r w:rsidR="00EA155C">
        <w:rPr>
          <w:rStyle w:val="msoins0"/>
          <w:b/>
        </w:rPr>
        <w:t>проведению</w:t>
      </w:r>
      <w:r w:rsidR="007C039D">
        <w:rPr>
          <w:rStyle w:val="msoins0"/>
          <w:b/>
        </w:rPr>
        <w:t xml:space="preserve"> </w:t>
      </w:r>
      <w:r w:rsidR="0039402B" w:rsidRPr="0039402B">
        <w:rPr>
          <w:rStyle w:val="msoins0"/>
          <w:b/>
        </w:rPr>
        <w:t xml:space="preserve">Банком НКЦ (АО) </w:t>
      </w:r>
      <w:r w:rsidR="00EA155C">
        <w:rPr>
          <w:rStyle w:val="msoins0"/>
          <w:b/>
        </w:rPr>
        <w:t xml:space="preserve">индивидуальной </w:t>
      </w:r>
      <w:r w:rsidR="00EA155C" w:rsidRPr="007C039D">
        <w:rPr>
          <w:rStyle w:val="msoins0"/>
          <w:b/>
        </w:rPr>
        <w:t>оценк</w:t>
      </w:r>
      <w:r w:rsidR="00EA155C">
        <w:rPr>
          <w:rStyle w:val="msoins0"/>
          <w:b/>
        </w:rPr>
        <w:t>и</w:t>
      </w:r>
      <w:r w:rsidR="00885FE4" w:rsidRPr="007C039D">
        <w:rPr>
          <w:rStyle w:val="msoins0"/>
          <w:b/>
        </w:rPr>
        <w:t xml:space="preserve"> кредитного риска</w:t>
      </w:r>
      <w:r w:rsidR="002D1BA4">
        <w:rPr>
          <w:rStyle w:val="msoins0"/>
          <w:b/>
        </w:rPr>
        <w:t xml:space="preserve"> </w:t>
      </w:r>
      <w:r w:rsidR="0074266C" w:rsidRPr="007C039D">
        <w:rPr>
          <w:rStyle w:val="msoins0"/>
          <w:b/>
        </w:rPr>
        <w:t>контрагентов</w:t>
      </w:r>
      <w:r w:rsidR="00907A24">
        <w:rPr>
          <w:rStyle w:val="msoins0"/>
          <w:b/>
        </w:rPr>
        <w:t xml:space="preserve"> для целей формирования инвестиционных активов и установления лимитов по казначейским </w:t>
      </w:r>
      <w:r w:rsidR="002D1BA4">
        <w:rPr>
          <w:rStyle w:val="msoins0"/>
          <w:b/>
        </w:rPr>
        <w:t>операциям.</w:t>
      </w:r>
    </w:p>
    <w:p w:rsidR="006951ED" w:rsidRDefault="006951ED" w:rsidP="006951ED">
      <w:pPr>
        <w:spacing w:after="120"/>
        <w:jc w:val="center"/>
        <w:rPr>
          <w:rStyle w:val="msoins0"/>
          <w:b/>
        </w:rPr>
      </w:pPr>
    </w:p>
    <w:p w:rsidR="002551CF" w:rsidRPr="00896C7F" w:rsidRDefault="006951ED" w:rsidP="006951ED">
      <w:pPr>
        <w:spacing w:after="120"/>
        <w:jc w:val="center"/>
        <w:rPr>
          <w:rStyle w:val="msoins0"/>
          <w:b/>
        </w:rPr>
      </w:pPr>
      <w:bookmarkStart w:id="1" w:name="_GoBack"/>
      <w:bookmarkEnd w:id="1"/>
      <w:r>
        <w:rPr>
          <w:rStyle w:val="msoins0"/>
          <w:b/>
        </w:rPr>
        <w:t>(</w:t>
      </w:r>
      <w:r w:rsidRPr="006368C3">
        <w:rPr>
          <w:b/>
        </w:rPr>
        <w:t>Основные положения</w:t>
      </w:r>
      <w:r>
        <w:rPr>
          <w:rStyle w:val="msoins0"/>
          <w:b/>
        </w:rPr>
        <w:t>)</w:t>
      </w:r>
    </w:p>
    <w:p w:rsidR="00A7142B" w:rsidRPr="006B7A8B" w:rsidRDefault="00A7142B" w:rsidP="00A464B9">
      <w:pPr>
        <w:numPr>
          <w:ilvl w:val="0"/>
          <w:numId w:val="2"/>
        </w:numPr>
        <w:tabs>
          <w:tab w:val="clear" w:pos="170"/>
          <w:tab w:val="num" w:pos="0"/>
        </w:tabs>
        <w:spacing w:before="360" w:after="120"/>
        <w:ind w:left="0" w:firstLine="0"/>
        <w:jc w:val="center"/>
        <w:rPr>
          <w:rStyle w:val="msoins0"/>
          <w:b/>
        </w:rPr>
      </w:pPr>
      <w:bookmarkStart w:id="2" w:name="_Ref207167017"/>
      <w:bookmarkStart w:id="3" w:name="_Toc214711948"/>
      <w:bookmarkStart w:id="4" w:name="_Toc214712135"/>
      <w:bookmarkStart w:id="5" w:name="_Toc214714484"/>
      <w:r w:rsidRPr="006B7A8B">
        <w:rPr>
          <w:rStyle w:val="msoins0"/>
          <w:b/>
        </w:rPr>
        <w:t>Общие положения</w:t>
      </w:r>
      <w:bookmarkEnd w:id="2"/>
      <w:bookmarkEnd w:id="3"/>
      <w:bookmarkEnd w:id="4"/>
      <w:bookmarkEnd w:id="5"/>
      <w:r>
        <w:rPr>
          <w:rStyle w:val="msoins0"/>
          <w:b/>
        </w:rPr>
        <w:t>.</w:t>
      </w:r>
    </w:p>
    <w:p w:rsidR="00561B57" w:rsidRDefault="00A7142B" w:rsidP="00274460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</w:pPr>
      <w:bookmarkStart w:id="6" w:name="_Ref214714237"/>
      <w:r w:rsidRPr="00793BE8">
        <w:t>Настоящие Методические рекомендации разработаны в целях определения порядка проведения индивидуальной оценки кредитного риска</w:t>
      </w:r>
      <w:r w:rsidR="00C36D49" w:rsidRPr="00793BE8">
        <w:t>,</w:t>
      </w:r>
      <w:r w:rsidR="005F4421" w:rsidRPr="00793BE8">
        <w:t xml:space="preserve"> </w:t>
      </w:r>
      <w:r w:rsidR="00C36D49" w:rsidRPr="00793BE8">
        <w:t xml:space="preserve">принимаемого </w:t>
      </w:r>
      <w:r w:rsidR="00274460" w:rsidRPr="00274460">
        <w:t>Банком НКЦ (АО)</w:t>
      </w:r>
      <w:r w:rsidR="00C36D49" w:rsidRPr="00793BE8">
        <w:t xml:space="preserve"> </w:t>
      </w:r>
      <w:r w:rsidR="002D1BA4">
        <w:t>контрагентов</w:t>
      </w:r>
      <w:r w:rsidR="00C36D49">
        <w:t xml:space="preserve"> </w:t>
      </w:r>
      <w:r w:rsidR="00C36D49" w:rsidRPr="00793BE8">
        <w:t>при формировании инвестиционных активов</w:t>
      </w:r>
      <w:r w:rsidRPr="00793BE8">
        <w:t xml:space="preserve"> </w:t>
      </w:r>
      <w:r w:rsidR="005F4421" w:rsidRPr="00793BE8">
        <w:t xml:space="preserve">и установлении лимитов </w:t>
      </w:r>
      <w:r w:rsidRPr="003C38C3">
        <w:rPr>
          <w:spacing w:val="-2"/>
        </w:rPr>
        <w:t xml:space="preserve">по </w:t>
      </w:r>
      <w:r w:rsidR="00382C68" w:rsidRPr="003C38C3">
        <w:rPr>
          <w:spacing w:val="-2"/>
        </w:rPr>
        <w:t>к</w:t>
      </w:r>
      <w:r w:rsidRPr="003C38C3">
        <w:rPr>
          <w:spacing w:val="-2"/>
        </w:rPr>
        <w:t>азначейс</w:t>
      </w:r>
      <w:r w:rsidR="00382C68" w:rsidRPr="003C38C3">
        <w:rPr>
          <w:spacing w:val="-2"/>
        </w:rPr>
        <w:t xml:space="preserve">ким </w:t>
      </w:r>
      <w:r w:rsidR="004529EA">
        <w:rPr>
          <w:spacing w:val="-2"/>
        </w:rPr>
        <w:t>операциям</w:t>
      </w:r>
      <w:r w:rsidR="004529EA" w:rsidRPr="003C38C3">
        <w:rPr>
          <w:spacing w:val="-2"/>
        </w:rPr>
        <w:t xml:space="preserve"> </w:t>
      </w:r>
      <w:r w:rsidR="00DC1747" w:rsidRPr="003C38C3">
        <w:rPr>
          <w:spacing w:val="-2"/>
        </w:rPr>
        <w:t xml:space="preserve">(далее -  индивидуальная оценка кредитного риска </w:t>
      </w:r>
      <w:r w:rsidR="00896C7F" w:rsidRPr="003C38C3">
        <w:rPr>
          <w:spacing w:val="-2"/>
        </w:rPr>
        <w:t>контрагентов</w:t>
      </w:r>
      <w:r w:rsidR="00F83976" w:rsidRPr="003C38C3">
        <w:rPr>
          <w:spacing w:val="-2"/>
        </w:rPr>
        <w:t>).</w:t>
      </w:r>
    </w:p>
    <w:p w:rsidR="008D1461" w:rsidRDefault="00F3506C" w:rsidP="00351FFC">
      <w:pPr>
        <w:tabs>
          <w:tab w:val="num" w:pos="1134"/>
        </w:tabs>
        <w:spacing w:before="120" w:after="120"/>
        <w:ind w:firstLine="567"/>
        <w:jc w:val="both"/>
      </w:pPr>
      <w:r>
        <w:t xml:space="preserve">Действие </w:t>
      </w:r>
      <w:r w:rsidR="0083346D">
        <w:t>настоящих Методических реком</w:t>
      </w:r>
      <w:r>
        <w:t xml:space="preserve">ендаций не распространяется на </w:t>
      </w:r>
      <w:r w:rsidR="004529EA">
        <w:t>процедуру оценки</w:t>
      </w:r>
      <w:r w:rsidR="0083346D">
        <w:t xml:space="preserve"> риска по операциям с ценными бумагами, приобретаемыми </w:t>
      </w:r>
      <w:r w:rsidR="00B65408" w:rsidRPr="00274460">
        <w:t>Банком НКЦ (АО)</w:t>
      </w:r>
      <w:r w:rsidR="00B65408" w:rsidRPr="00793BE8">
        <w:t xml:space="preserve"> </w:t>
      </w:r>
      <w:r w:rsidR="0083346D">
        <w:t xml:space="preserve">при </w:t>
      </w:r>
      <w:r w:rsidR="00AE342A" w:rsidRPr="003C38C3">
        <w:rPr>
          <w:spacing w:val="-4"/>
        </w:rPr>
        <w:t>осуществлении</w:t>
      </w:r>
      <w:r w:rsidR="0083346D" w:rsidRPr="003C38C3">
        <w:rPr>
          <w:spacing w:val="-4"/>
        </w:rPr>
        <w:t xml:space="preserve"> </w:t>
      </w:r>
      <w:r w:rsidR="00D4535E">
        <w:rPr>
          <w:spacing w:val="-4"/>
        </w:rPr>
        <w:t xml:space="preserve">им </w:t>
      </w:r>
      <w:r w:rsidR="0083346D" w:rsidRPr="003C38C3">
        <w:rPr>
          <w:spacing w:val="-4"/>
        </w:rPr>
        <w:t xml:space="preserve">функций центрального контрагента на биржевых рынках Группы </w:t>
      </w:r>
      <w:r w:rsidR="00522192" w:rsidRPr="003C38C3">
        <w:rPr>
          <w:rStyle w:val="msoins0"/>
          <w:spacing w:val="-4"/>
        </w:rPr>
        <w:t>«Московская</w:t>
      </w:r>
      <w:r w:rsidR="00D27041" w:rsidRPr="00B123DC">
        <w:rPr>
          <w:rStyle w:val="msoins0"/>
        </w:rPr>
        <w:t xml:space="preserve"> Биржа»</w:t>
      </w:r>
      <w:r w:rsidR="00B65408">
        <w:t xml:space="preserve">. </w:t>
      </w:r>
    </w:p>
    <w:bookmarkEnd w:id="6"/>
    <w:p w:rsidR="00A7142B" w:rsidRDefault="00A7142B" w:rsidP="00793BE8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  <w:rPr>
          <w:rStyle w:val="msoins0"/>
        </w:rPr>
      </w:pPr>
      <w:r w:rsidRPr="00793BE8">
        <w:t>Н</w:t>
      </w:r>
      <w:r w:rsidRPr="006B7A8B">
        <w:rPr>
          <w:rStyle w:val="msoins0"/>
        </w:rPr>
        <w:t>астоящ</w:t>
      </w:r>
      <w:r w:rsidR="00BC1E61">
        <w:rPr>
          <w:rStyle w:val="msoins0"/>
        </w:rPr>
        <w:t>ие</w:t>
      </w:r>
      <w:r w:rsidRPr="006B7A8B">
        <w:rPr>
          <w:rStyle w:val="msoins0"/>
        </w:rPr>
        <w:t xml:space="preserve"> </w:t>
      </w:r>
      <w:r w:rsidR="00FA220C" w:rsidRPr="006B7A8B">
        <w:rPr>
          <w:rStyle w:val="msoins0"/>
        </w:rPr>
        <w:t>Методи</w:t>
      </w:r>
      <w:r w:rsidR="00FA220C">
        <w:rPr>
          <w:rStyle w:val="msoins0"/>
        </w:rPr>
        <w:t>ческие рекомендации</w:t>
      </w:r>
      <w:r w:rsidR="00FA220C" w:rsidRPr="006B7A8B">
        <w:rPr>
          <w:rStyle w:val="msoins0"/>
        </w:rPr>
        <w:t xml:space="preserve"> </w:t>
      </w:r>
      <w:r w:rsidR="00FA220C">
        <w:rPr>
          <w:rStyle w:val="msoins0"/>
        </w:rPr>
        <w:t>определяю</w:t>
      </w:r>
      <w:r w:rsidRPr="006B7A8B">
        <w:rPr>
          <w:rStyle w:val="msoins0"/>
        </w:rPr>
        <w:t>т</w:t>
      </w:r>
      <w:r>
        <w:rPr>
          <w:rStyle w:val="msoins0"/>
        </w:rPr>
        <w:t>:</w:t>
      </w:r>
    </w:p>
    <w:p w:rsidR="00561B57" w:rsidRDefault="00A7142B" w:rsidP="001218AC">
      <w:pPr>
        <w:numPr>
          <w:ilvl w:val="0"/>
          <w:numId w:val="8"/>
        </w:numPr>
        <w:spacing w:before="120" w:after="120"/>
        <w:ind w:left="567" w:hanging="567"/>
        <w:jc w:val="both"/>
      </w:pPr>
      <w:r>
        <w:t>перечень групп контрагентов, по которым требуется проведение</w:t>
      </w:r>
      <w:r w:rsidR="00FA220C" w:rsidRPr="00FA220C">
        <w:t xml:space="preserve"> </w:t>
      </w:r>
      <w:r w:rsidR="00FA220C">
        <w:t>индивидуальной оценки кредитного риска;</w:t>
      </w:r>
    </w:p>
    <w:p w:rsidR="00561B57" w:rsidRDefault="00A7142B" w:rsidP="001218AC">
      <w:pPr>
        <w:numPr>
          <w:ilvl w:val="0"/>
          <w:numId w:val="8"/>
        </w:numPr>
        <w:spacing w:before="120" w:after="120"/>
        <w:ind w:left="567" w:hanging="567"/>
        <w:jc w:val="both"/>
      </w:pPr>
      <w:r>
        <w:t xml:space="preserve">состав и порядок расчета показателей </w:t>
      </w:r>
      <w:r w:rsidR="00FE6EFC">
        <w:t xml:space="preserve">для </w:t>
      </w:r>
      <w:r>
        <w:t xml:space="preserve">индивидуальной оценки </w:t>
      </w:r>
      <w:r w:rsidR="00FE6EFC">
        <w:t>кредитного риска</w:t>
      </w:r>
      <w:r w:rsidR="00520CFD">
        <w:t xml:space="preserve"> </w:t>
      </w:r>
      <w:r>
        <w:t>контрагентов</w:t>
      </w:r>
      <w:r w:rsidR="00D741BF" w:rsidRPr="003C38C3">
        <w:t xml:space="preserve"> </w:t>
      </w:r>
      <w:r>
        <w:t>различных групп;</w:t>
      </w:r>
    </w:p>
    <w:p w:rsidR="00561B57" w:rsidRDefault="00FE6EFC" w:rsidP="00813CF3">
      <w:pPr>
        <w:numPr>
          <w:ilvl w:val="0"/>
          <w:numId w:val="8"/>
        </w:numPr>
        <w:spacing w:before="120" w:after="120"/>
        <w:ind w:left="567" w:hanging="567"/>
        <w:jc w:val="both"/>
      </w:pPr>
      <w:r>
        <w:t>порядок оценки</w:t>
      </w:r>
      <w:r w:rsidR="00497840">
        <w:t xml:space="preserve"> </w:t>
      </w:r>
      <w:r>
        <w:t>риска финансовых инструментов, формирующих и</w:t>
      </w:r>
      <w:r w:rsidR="00813CF3">
        <w:t xml:space="preserve">нвестиционные </w:t>
      </w:r>
      <w:r>
        <w:t xml:space="preserve">активы </w:t>
      </w:r>
      <w:r w:rsidR="00497840" w:rsidRPr="003C38C3">
        <w:t xml:space="preserve">или планируемых к приобретению в инвестиционный портфель </w:t>
      </w:r>
      <w:r w:rsidR="00813CF3" w:rsidRPr="00813CF3">
        <w:t>Банка НКЦ (АО);</w:t>
      </w:r>
    </w:p>
    <w:p w:rsidR="00A7142B" w:rsidRPr="00DE53D6" w:rsidRDefault="00A7142B" w:rsidP="001218AC">
      <w:pPr>
        <w:numPr>
          <w:ilvl w:val="0"/>
          <w:numId w:val="8"/>
        </w:numPr>
        <w:spacing w:before="120" w:after="120"/>
        <w:ind w:left="567" w:hanging="567"/>
        <w:jc w:val="both"/>
      </w:pPr>
      <w:r>
        <w:t>требования к содержанию</w:t>
      </w:r>
      <w:r w:rsidR="00FA220C">
        <w:t xml:space="preserve"> и</w:t>
      </w:r>
      <w:r>
        <w:t xml:space="preserve"> формату </w:t>
      </w:r>
      <w:r w:rsidR="005119C8">
        <w:t xml:space="preserve">аналитического </w:t>
      </w:r>
      <w:r>
        <w:t>(экспертного) заключения, а также</w:t>
      </w:r>
      <w:r w:rsidR="001A6AA1" w:rsidRPr="001A6AA1">
        <w:t xml:space="preserve"> </w:t>
      </w:r>
      <w:r w:rsidR="001A6AA1">
        <w:t>подходы к</w:t>
      </w:r>
      <w:r w:rsidRPr="00632326">
        <w:t xml:space="preserve"> </w:t>
      </w:r>
      <w:r w:rsidR="00FA220C">
        <w:t xml:space="preserve">экспертной </w:t>
      </w:r>
      <w:r w:rsidR="001A6AA1">
        <w:t>оценке</w:t>
      </w:r>
      <w:r w:rsidRPr="00632326">
        <w:t xml:space="preserve"> </w:t>
      </w:r>
      <w:r w:rsidR="00FA220C">
        <w:t xml:space="preserve">показателей деятельности </w:t>
      </w:r>
      <w:r w:rsidRPr="00632326">
        <w:t xml:space="preserve">и кредитного риска </w:t>
      </w:r>
      <w:r w:rsidRPr="00DE53D6">
        <w:t>контрагент</w:t>
      </w:r>
      <w:r w:rsidR="00813CF3">
        <w:t>ов</w:t>
      </w:r>
      <w:r w:rsidR="00497840">
        <w:t>.</w:t>
      </w:r>
    </w:p>
    <w:p w:rsidR="006F7083" w:rsidRDefault="00A71D20" w:rsidP="00793BE8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</w:pPr>
      <w:r>
        <w:t>Индивидуальная о</w:t>
      </w:r>
      <w:r w:rsidR="00A7142B">
        <w:t xml:space="preserve">ценка кредитного риска </w:t>
      </w:r>
      <w:r w:rsidR="00BF53FE">
        <w:t>контрагентов</w:t>
      </w:r>
      <w:r w:rsidR="00735320">
        <w:t xml:space="preserve"> </w:t>
      </w:r>
      <w:r w:rsidR="00A7142B">
        <w:t xml:space="preserve">в рамках настоящих Методических рекомендаций </w:t>
      </w:r>
      <w:r>
        <w:t xml:space="preserve">проводится </w:t>
      </w:r>
      <w:r w:rsidR="00A7142B">
        <w:rPr>
          <w:rStyle w:val="msoins0"/>
        </w:rPr>
        <w:t xml:space="preserve">с учетом </w:t>
      </w:r>
      <w:r w:rsidR="00A7142B">
        <w:t xml:space="preserve">требований Банка России </w:t>
      </w:r>
      <w:r w:rsidR="00693EC2">
        <w:t xml:space="preserve">по </w:t>
      </w:r>
      <w:r w:rsidR="000E5B10">
        <w:t>анализ</w:t>
      </w:r>
      <w:r w:rsidR="00693EC2">
        <w:t>у</w:t>
      </w:r>
      <w:r w:rsidR="00A7142B">
        <w:t xml:space="preserve"> деятельности заемщиков при формировании </w:t>
      </w:r>
      <w:r w:rsidR="00693EC2">
        <w:t xml:space="preserve">банками </w:t>
      </w:r>
      <w:r w:rsidR="00A7142B">
        <w:t>резервов на возможные потери</w:t>
      </w:r>
      <w:r w:rsidR="00A7142B">
        <w:rPr>
          <w:rStyle w:val="ae"/>
        </w:rPr>
        <w:footnoteReference w:id="2"/>
      </w:r>
      <w:r w:rsidR="00A7142B">
        <w:t>, подходов, используемых Банком России при оценке экономического положения банков</w:t>
      </w:r>
      <w:r w:rsidR="00A7142B">
        <w:rPr>
          <w:rStyle w:val="ae"/>
        </w:rPr>
        <w:footnoteReference w:id="3"/>
      </w:r>
      <w:r w:rsidR="00D11709">
        <w:t>, а также</w:t>
      </w:r>
      <w:r w:rsidR="00CD7093">
        <w:t xml:space="preserve"> с учетом стандартов такого анализа в российских банках и </w:t>
      </w:r>
      <w:r w:rsidR="00693EC2">
        <w:t xml:space="preserve">в </w:t>
      </w:r>
      <w:r w:rsidR="00CD7093">
        <w:t>международной практике.</w:t>
      </w:r>
    </w:p>
    <w:p w:rsidR="00A7142B" w:rsidRPr="00B55250" w:rsidRDefault="009E16FB" w:rsidP="00793BE8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</w:pPr>
      <w:bookmarkStart w:id="7" w:name="_Ref300053679"/>
      <w:bookmarkStart w:id="8" w:name="_Ref303327353"/>
      <w:r>
        <w:t xml:space="preserve">В </w:t>
      </w:r>
      <w:r w:rsidR="00A7142B" w:rsidRPr="00B55250">
        <w:t xml:space="preserve">целях проведения </w:t>
      </w:r>
      <w:r w:rsidR="00EA74D6">
        <w:t xml:space="preserve">индивидуальной </w:t>
      </w:r>
      <w:r>
        <w:t>оценки кредитного риска</w:t>
      </w:r>
      <w:r w:rsidR="00A7142B" w:rsidRPr="00B55250">
        <w:t xml:space="preserve"> выделяются следующие группы </w:t>
      </w:r>
      <w:r w:rsidR="00C24181">
        <w:t>контрагентов</w:t>
      </w:r>
      <w:r w:rsidR="00A7142B" w:rsidRPr="00B55250">
        <w:t>:</w:t>
      </w:r>
      <w:bookmarkEnd w:id="7"/>
      <w:bookmarkEnd w:id="8"/>
    </w:p>
    <w:p w:rsidR="00A74130" w:rsidRDefault="00E4018E" w:rsidP="00240841">
      <w:pPr>
        <w:pStyle w:val="af8"/>
        <w:numPr>
          <w:ilvl w:val="0"/>
          <w:numId w:val="43"/>
        </w:numPr>
        <w:tabs>
          <w:tab w:val="left" w:pos="0"/>
          <w:tab w:val="num" w:pos="1246"/>
        </w:tabs>
        <w:spacing w:before="60"/>
        <w:ind w:left="1148" w:hanging="532"/>
        <w:jc w:val="both"/>
        <w:rPr>
          <w:rStyle w:val="msoins0"/>
        </w:rPr>
      </w:pPr>
      <w:r>
        <w:rPr>
          <w:rStyle w:val="msoins0"/>
        </w:rPr>
        <w:t>к</w:t>
      </w:r>
      <w:r w:rsidRPr="00BC5891">
        <w:rPr>
          <w:rStyle w:val="msoins0"/>
        </w:rPr>
        <w:t>редитны</w:t>
      </w:r>
      <w:r>
        <w:rPr>
          <w:rStyle w:val="msoins0"/>
        </w:rPr>
        <w:t>е</w:t>
      </w:r>
      <w:r w:rsidRPr="00BC5891">
        <w:rPr>
          <w:rStyle w:val="msoins0"/>
        </w:rPr>
        <w:t xml:space="preserve"> </w:t>
      </w:r>
      <w:r w:rsidR="00A74130" w:rsidRPr="00BC5891">
        <w:rPr>
          <w:rStyle w:val="msoins0"/>
        </w:rPr>
        <w:t>организац</w:t>
      </w:r>
      <w:r w:rsidR="00294488">
        <w:rPr>
          <w:rStyle w:val="msoins0"/>
        </w:rPr>
        <w:t>ии</w:t>
      </w:r>
      <w:r w:rsidR="00A74130">
        <w:rPr>
          <w:rStyle w:val="msoins0"/>
        </w:rPr>
        <w:t xml:space="preserve">, НКО, </w:t>
      </w:r>
      <w:r>
        <w:rPr>
          <w:rStyle w:val="msoins0"/>
        </w:rPr>
        <w:t xml:space="preserve">государственные </w:t>
      </w:r>
      <w:r w:rsidR="00A74130">
        <w:rPr>
          <w:rStyle w:val="msoins0"/>
        </w:rPr>
        <w:t>корпораци</w:t>
      </w:r>
      <w:r w:rsidR="00294488">
        <w:rPr>
          <w:rStyle w:val="msoins0"/>
        </w:rPr>
        <w:t>и</w:t>
      </w:r>
      <w:r w:rsidR="00A74130">
        <w:rPr>
          <w:rStyle w:val="msoins0"/>
        </w:rPr>
        <w:t xml:space="preserve"> (банк</w:t>
      </w:r>
      <w:r w:rsidR="00294488">
        <w:rPr>
          <w:rStyle w:val="msoins0"/>
        </w:rPr>
        <w:t>и</w:t>
      </w:r>
      <w:r w:rsidR="00A74130">
        <w:rPr>
          <w:rStyle w:val="msoins0"/>
        </w:rPr>
        <w:t xml:space="preserve">), </w:t>
      </w:r>
      <w:r>
        <w:rPr>
          <w:rStyle w:val="msoins0"/>
        </w:rPr>
        <w:t>м</w:t>
      </w:r>
      <w:r w:rsidRPr="00BC5891">
        <w:rPr>
          <w:rStyle w:val="msoins0"/>
        </w:rPr>
        <w:t>еждународны</w:t>
      </w:r>
      <w:r>
        <w:rPr>
          <w:rStyle w:val="msoins0"/>
        </w:rPr>
        <w:t>е</w:t>
      </w:r>
      <w:r w:rsidRPr="00BC5891">
        <w:rPr>
          <w:rStyle w:val="msoins0"/>
        </w:rPr>
        <w:t xml:space="preserve"> </w:t>
      </w:r>
      <w:r w:rsidR="00A74130" w:rsidRPr="00BC5891">
        <w:rPr>
          <w:rStyle w:val="msoins0"/>
        </w:rPr>
        <w:t>организаци</w:t>
      </w:r>
      <w:r w:rsidR="00E06194">
        <w:rPr>
          <w:rStyle w:val="msoins0"/>
        </w:rPr>
        <w:t>и</w:t>
      </w:r>
      <w:r w:rsidR="00A74130" w:rsidRPr="00BC5891">
        <w:rPr>
          <w:rStyle w:val="msoins0"/>
        </w:rPr>
        <w:t xml:space="preserve">, </w:t>
      </w:r>
      <w:r>
        <w:rPr>
          <w:rStyle w:val="msoins0"/>
        </w:rPr>
        <w:t xml:space="preserve">кредитные </w:t>
      </w:r>
      <w:r w:rsidR="00A74130">
        <w:rPr>
          <w:rStyle w:val="msoins0"/>
        </w:rPr>
        <w:t>организаци</w:t>
      </w:r>
      <w:r w:rsidR="00E06194">
        <w:rPr>
          <w:rStyle w:val="msoins0"/>
        </w:rPr>
        <w:t>и</w:t>
      </w:r>
      <w:r w:rsidR="00A74130">
        <w:rPr>
          <w:rStyle w:val="msoins0"/>
        </w:rPr>
        <w:t xml:space="preserve"> – </w:t>
      </w:r>
      <w:r w:rsidR="00E06194">
        <w:rPr>
          <w:rStyle w:val="msoins0"/>
        </w:rPr>
        <w:t>нерезиденты</w:t>
      </w:r>
      <w:r w:rsidR="00A74130">
        <w:rPr>
          <w:rStyle w:val="msoins0"/>
        </w:rPr>
        <w:t>;</w:t>
      </w:r>
      <w:r w:rsidR="00A74130" w:rsidRPr="00B123DC">
        <w:rPr>
          <w:rStyle w:val="msoins0"/>
        </w:rPr>
        <w:t xml:space="preserve"> </w:t>
      </w:r>
    </w:p>
    <w:p w:rsidR="00A74130" w:rsidRDefault="00E4018E" w:rsidP="003C38C3">
      <w:pPr>
        <w:pStyle w:val="af8"/>
        <w:numPr>
          <w:ilvl w:val="0"/>
          <w:numId w:val="43"/>
        </w:numPr>
        <w:tabs>
          <w:tab w:val="left" w:pos="0"/>
          <w:tab w:val="num" w:pos="1246"/>
        </w:tabs>
        <w:spacing w:before="60"/>
        <w:ind w:left="1148" w:hanging="532"/>
        <w:jc w:val="both"/>
        <w:rPr>
          <w:rStyle w:val="msoins0"/>
        </w:rPr>
      </w:pPr>
      <w:r>
        <w:rPr>
          <w:rStyle w:val="msoins0"/>
        </w:rPr>
        <w:t>ф</w:t>
      </w:r>
      <w:r w:rsidRPr="00B123DC">
        <w:rPr>
          <w:rStyle w:val="msoins0"/>
        </w:rPr>
        <w:t>инансов</w:t>
      </w:r>
      <w:r>
        <w:rPr>
          <w:rStyle w:val="msoins0"/>
        </w:rPr>
        <w:t>ые</w:t>
      </w:r>
      <w:r w:rsidRPr="00B123DC">
        <w:rPr>
          <w:rStyle w:val="msoins0"/>
        </w:rPr>
        <w:t xml:space="preserve"> </w:t>
      </w:r>
      <w:r w:rsidR="00A74130" w:rsidRPr="00B123DC">
        <w:rPr>
          <w:rStyle w:val="msoins0"/>
        </w:rPr>
        <w:t>компани</w:t>
      </w:r>
      <w:r w:rsidR="00E06194">
        <w:rPr>
          <w:rStyle w:val="msoins0"/>
        </w:rPr>
        <w:t>и</w:t>
      </w:r>
      <w:r>
        <w:rPr>
          <w:rStyle w:val="msoins0"/>
        </w:rPr>
        <w:t>, ф</w:t>
      </w:r>
      <w:r w:rsidR="00A74130" w:rsidRPr="00B123DC">
        <w:rPr>
          <w:rStyle w:val="msoins0"/>
        </w:rPr>
        <w:t>инансовы</w:t>
      </w:r>
      <w:r w:rsidR="00E06194">
        <w:rPr>
          <w:rStyle w:val="msoins0"/>
        </w:rPr>
        <w:t>е</w:t>
      </w:r>
      <w:r w:rsidR="00A74130" w:rsidRPr="00B123DC">
        <w:rPr>
          <w:rStyle w:val="msoins0"/>
        </w:rPr>
        <w:t xml:space="preserve"> компани</w:t>
      </w:r>
      <w:r w:rsidR="00E06194">
        <w:rPr>
          <w:rStyle w:val="msoins0"/>
        </w:rPr>
        <w:t>и</w:t>
      </w:r>
      <w:r w:rsidR="00A74130">
        <w:rPr>
          <w:rStyle w:val="msoins0"/>
        </w:rPr>
        <w:t xml:space="preserve"> </w:t>
      </w:r>
      <w:r w:rsidR="00B77665">
        <w:rPr>
          <w:rStyle w:val="msoins0"/>
        </w:rPr>
        <w:t>–</w:t>
      </w:r>
      <w:r w:rsidR="00A74130">
        <w:rPr>
          <w:rStyle w:val="msoins0"/>
        </w:rPr>
        <w:t xml:space="preserve"> нерезидент</w:t>
      </w:r>
      <w:r w:rsidR="00E06194">
        <w:rPr>
          <w:rStyle w:val="msoins0"/>
        </w:rPr>
        <w:t>ы</w:t>
      </w:r>
      <w:r w:rsidR="00A74130">
        <w:rPr>
          <w:rStyle w:val="msoins0"/>
        </w:rPr>
        <w:t>;</w:t>
      </w:r>
    </w:p>
    <w:p w:rsidR="00A74130" w:rsidRDefault="00E4018E" w:rsidP="00240841">
      <w:pPr>
        <w:pStyle w:val="af8"/>
        <w:numPr>
          <w:ilvl w:val="0"/>
          <w:numId w:val="43"/>
        </w:numPr>
        <w:tabs>
          <w:tab w:val="left" w:pos="0"/>
          <w:tab w:val="num" w:pos="1246"/>
        </w:tabs>
        <w:spacing w:before="60"/>
        <w:ind w:left="1148" w:hanging="532"/>
        <w:jc w:val="both"/>
        <w:rPr>
          <w:rStyle w:val="msoins0"/>
        </w:rPr>
      </w:pPr>
      <w:r>
        <w:rPr>
          <w:rStyle w:val="msoins0"/>
        </w:rPr>
        <w:lastRenderedPageBreak/>
        <w:t>э</w:t>
      </w:r>
      <w:r w:rsidRPr="00B123DC">
        <w:rPr>
          <w:rStyle w:val="msoins0"/>
        </w:rPr>
        <w:t>митент</w:t>
      </w:r>
      <w:r>
        <w:rPr>
          <w:rStyle w:val="msoins0"/>
        </w:rPr>
        <w:t>ы</w:t>
      </w:r>
      <w:r w:rsidR="00A74130">
        <w:rPr>
          <w:rStyle w:val="msoins0"/>
        </w:rPr>
        <w:t xml:space="preserve">, </w:t>
      </w:r>
      <w:r>
        <w:rPr>
          <w:rStyle w:val="msoins0"/>
        </w:rPr>
        <w:t>эмитенты</w:t>
      </w:r>
      <w:r w:rsidR="00A74130">
        <w:rPr>
          <w:rStyle w:val="msoins0"/>
        </w:rPr>
        <w:t>-нерезидент</w:t>
      </w:r>
      <w:r w:rsidR="00E06194">
        <w:rPr>
          <w:rStyle w:val="msoins0"/>
        </w:rPr>
        <w:t>ы</w:t>
      </w:r>
      <w:r w:rsidR="00A74130">
        <w:rPr>
          <w:rStyle w:val="msoins0"/>
        </w:rPr>
        <w:t xml:space="preserve"> и </w:t>
      </w:r>
      <w:r>
        <w:rPr>
          <w:rStyle w:val="msoins0"/>
        </w:rPr>
        <w:t>корпорации</w:t>
      </w:r>
      <w:r w:rsidR="00A74130">
        <w:rPr>
          <w:rStyle w:val="msoins0"/>
        </w:rPr>
        <w:t>;</w:t>
      </w:r>
    </w:p>
    <w:p w:rsidR="00A74130" w:rsidRDefault="00E4018E" w:rsidP="00240841">
      <w:pPr>
        <w:pStyle w:val="af8"/>
        <w:numPr>
          <w:ilvl w:val="0"/>
          <w:numId w:val="43"/>
        </w:numPr>
        <w:tabs>
          <w:tab w:val="left" w:pos="0"/>
          <w:tab w:val="num" w:pos="1246"/>
        </w:tabs>
        <w:spacing w:before="60"/>
        <w:ind w:left="1148" w:hanging="532"/>
        <w:jc w:val="both"/>
        <w:rPr>
          <w:rStyle w:val="msoins0"/>
        </w:rPr>
      </w:pPr>
      <w:r>
        <w:rPr>
          <w:rStyle w:val="msoins0"/>
        </w:rPr>
        <w:t xml:space="preserve">индивидуальные </w:t>
      </w:r>
      <w:r w:rsidR="00A74130">
        <w:rPr>
          <w:rStyle w:val="msoins0"/>
        </w:rPr>
        <w:t>предпринимател</w:t>
      </w:r>
      <w:r w:rsidR="00A54D97">
        <w:rPr>
          <w:rStyle w:val="msoins0"/>
        </w:rPr>
        <w:t>и</w:t>
      </w:r>
      <w:r w:rsidR="00A74130">
        <w:rPr>
          <w:rStyle w:val="msoins0"/>
        </w:rPr>
        <w:t>;</w:t>
      </w:r>
    </w:p>
    <w:p w:rsidR="00A74130" w:rsidRDefault="00E4018E" w:rsidP="00240841">
      <w:pPr>
        <w:pStyle w:val="af8"/>
        <w:numPr>
          <w:ilvl w:val="0"/>
          <w:numId w:val="43"/>
        </w:numPr>
        <w:tabs>
          <w:tab w:val="left" w:pos="0"/>
          <w:tab w:val="num" w:pos="1246"/>
        </w:tabs>
        <w:spacing w:before="60"/>
        <w:ind w:left="1148" w:hanging="532"/>
        <w:jc w:val="both"/>
        <w:rPr>
          <w:rStyle w:val="msoins0"/>
        </w:rPr>
      </w:pPr>
      <w:r>
        <w:rPr>
          <w:rStyle w:val="msoins0"/>
        </w:rPr>
        <w:t xml:space="preserve">товарные </w:t>
      </w:r>
      <w:r w:rsidR="00A74130">
        <w:rPr>
          <w:rStyle w:val="msoins0"/>
        </w:rPr>
        <w:t>склад</w:t>
      </w:r>
      <w:r w:rsidR="00A54D97">
        <w:rPr>
          <w:rStyle w:val="msoins0"/>
        </w:rPr>
        <w:t>ы</w:t>
      </w:r>
      <w:r w:rsidR="00A74130">
        <w:rPr>
          <w:rStyle w:val="msoins0"/>
        </w:rPr>
        <w:t xml:space="preserve"> и </w:t>
      </w:r>
      <w:r>
        <w:rPr>
          <w:rStyle w:val="msoins0"/>
        </w:rPr>
        <w:t>элеваторы</w:t>
      </w:r>
      <w:r w:rsidR="00A74130">
        <w:rPr>
          <w:rStyle w:val="msoins0"/>
        </w:rPr>
        <w:t>;</w:t>
      </w:r>
    </w:p>
    <w:p w:rsidR="00A74130" w:rsidRDefault="00E4018E" w:rsidP="00240841">
      <w:pPr>
        <w:pStyle w:val="af8"/>
        <w:numPr>
          <w:ilvl w:val="0"/>
          <w:numId w:val="43"/>
        </w:numPr>
        <w:tabs>
          <w:tab w:val="left" w:pos="0"/>
          <w:tab w:val="num" w:pos="1246"/>
        </w:tabs>
        <w:spacing w:before="60"/>
        <w:ind w:left="1148" w:hanging="532"/>
        <w:jc w:val="both"/>
        <w:rPr>
          <w:rStyle w:val="msoins0"/>
        </w:rPr>
      </w:pPr>
      <w:r>
        <w:rPr>
          <w:rStyle w:val="msoins0"/>
        </w:rPr>
        <w:t xml:space="preserve">трейдеры </w:t>
      </w:r>
      <w:r w:rsidR="00A74130">
        <w:rPr>
          <w:rStyle w:val="msoins0"/>
        </w:rPr>
        <w:t>товарного рынка;</w:t>
      </w:r>
    </w:p>
    <w:p w:rsidR="00A74130" w:rsidRDefault="00E4018E" w:rsidP="00240841">
      <w:pPr>
        <w:pStyle w:val="af8"/>
        <w:numPr>
          <w:ilvl w:val="0"/>
          <w:numId w:val="43"/>
        </w:numPr>
        <w:tabs>
          <w:tab w:val="left" w:pos="0"/>
          <w:tab w:val="num" w:pos="1246"/>
        </w:tabs>
        <w:spacing w:before="60"/>
        <w:ind w:left="1148" w:hanging="532"/>
        <w:jc w:val="both"/>
        <w:rPr>
          <w:rStyle w:val="msoins0"/>
        </w:rPr>
      </w:pPr>
      <w:r>
        <w:rPr>
          <w:rStyle w:val="msoins0"/>
        </w:rPr>
        <w:t xml:space="preserve">страховые </w:t>
      </w:r>
      <w:r w:rsidR="00A74130">
        <w:rPr>
          <w:rStyle w:val="msoins0"/>
        </w:rPr>
        <w:t>компани</w:t>
      </w:r>
      <w:r w:rsidR="00A54D97">
        <w:rPr>
          <w:rStyle w:val="msoins0"/>
        </w:rPr>
        <w:t>и</w:t>
      </w:r>
      <w:r w:rsidR="00A74130">
        <w:rPr>
          <w:rStyle w:val="msoins0"/>
        </w:rPr>
        <w:t>;</w:t>
      </w:r>
    </w:p>
    <w:p w:rsidR="00A74130" w:rsidRDefault="00E4018E" w:rsidP="00240841">
      <w:pPr>
        <w:pStyle w:val="af8"/>
        <w:numPr>
          <w:ilvl w:val="0"/>
          <w:numId w:val="43"/>
        </w:numPr>
        <w:tabs>
          <w:tab w:val="left" w:pos="0"/>
          <w:tab w:val="num" w:pos="1246"/>
        </w:tabs>
        <w:spacing w:before="60"/>
        <w:ind w:left="1148" w:hanging="532"/>
        <w:jc w:val="both"/>
        <w:rPr>
          <w:rStyle w:val="msoins0"/>
        </w:rPr>
      </w:pPr>
      <w:r>
        <w:rPr>
          <w:rStyle w:val="msoins0"/>
        </w:rPr>
        <w:t xml:space="preserve">администрации </w:t>
      </w:r>
      <w:r w:rsidR="00A74130">
        <w:rPr>
          <w:rStyle w:val="msoins0"/>
        </w:rPr>
        <w:t xml:space="preserve">и </w:t>
      </w:r>
      <w:r>
        <w:rPr>
          <w:rStyle w:val="msoins0"/>
        </w:rPr>
        <w:t xml:space="preserve">суверенные </w:t>
      </w:r>
      <w:r w:rsidR="00A74130">
        <w:rPr>
          <w:rStyle w:val="msoins0"/>
        </w:rPr>
        <w:t>заемщик</w:t>
      </w:r>
      <w:r w:rsidR="00A54D97">
        <w:rPr>
          <w:rStyle w:val="msoins0"/>
        </w:rPr>
        <w:t>и.</w:t>
      </w:r>
    </w:p>
    <w:p w:rsidR="006368C3" w:rsidRDefault="006368C3" w:rsidP="006368C3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</w:pPr>
      <w:r w:rsidRPr="006368C3">
        <w:t xml:space="preserve">Основные положения настоящих Методических рекомендаций раскрываются на сайте </w:t>
      </w:r>
      <w:r w:rsidRPr="006368C3">
        <w:rPr>
          <w:spacing w:val="-2"/>
        </w:rPr>
        <w:t>Банка НКЦ (АО)</w:t>
      </w:r>
      <w:r w:rsidRPr="006368C3">
        <w:t xml:space="preserve"> в сети Интернет</w:t>
      </w:r>
    </w:p>
    <w:p w:rsidR="00273B91" w:rsidRPr="003702F1" w:rsidRDefault="00273B91" w:rsidP="00C4022A">
      <w:pPr>
        <w:numPr>
          <w:ilvl w:val="0"/>
          <w:numId w:val="2"/>
        </w:numPr>
        <w:spacing w:before="360" w:after="120"/>
        <w:ind w:hanging="102"/>
        <w:jc w:val="center"/>
        <w:rPr>
          <w:rStyle w:val="msoins0"/>
          <w:b/>
        </w:rPr>
      </w:pPr>
      <w:r w:rsidRPr="003702F1">
        <w:rPr>
          <w:rStyle w:val="msoins0"/>
          <w:b/>
        </w:rPr>
        <w:t>Термины и определения.</w:t>
      </w:r>
    </w:p>
    <w:p w:rsidR="00273B91" w:rsidRPr="003702F1" w:rsidRDefault="00273B91" w:rsidP="00793BE8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</w:pPr>
      <w:r w:rsidRPr="003702F1">
        <w:t>В целях настоящих Методических рекомендаций</w:t>
      </w:r>
      <w:r w:rsidR="00693EC2" w:rsidRPr="003702F1">
        <w:t xml:space="preserve"> </w:t>
      </w:r>
      <w:r w:rsidRPr="003702F1">
        <w:t>используются следующие термины и определения</w:t>
      </w:r>
      <w:r w:rsidR="007C4B93">
        <w:t>: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346"/>
      </w:tblGrid>
      <w:tr w:rsidR="004865FA" w:rsidRPr="003702F1" w:rsidTr="00152B7F">
        <w:trPr>
          <w:jc w:val="center"/>
        </w:trPr>
        <w:tc>
          <w:tcPr>
            <w:tcW w:w="3116" w:type="dxa"/>
            <w:vAlign w:val="center"/>
          </w:tcPr>
          <w:p w:rsidR="004865FA" w:rsidRPr="003C38C3" w:rsidRDefault="004865FA" w:rsidP="008332AF">
            <w:pPr>
              <w:spacing w:before="120" w:after="120"/>
              <w:jc w:val="center"/>
              <w:rPr>
                <w:b/>
              </w:rPr>
            </w:pPr>
            <w:r w:rsidRPr="003C38C3">
              <w:rPr>
                <w:b/>
              </w:rPr>
              <w:t>Термин</w:t>
            </w:r>
          </w:p>
        </w:tc>
        <w:tc>
          <w:tcPr>
            <w:tcW w:w="6346" w:type="dxa"/>
          </w:tcPr>
          <w:p w:rsidR="004865FA" w:rsidRPr="003C38C3" w:rsidRDefault="004865FA" w:rsidP="008332AF">
            <w:pPr>
              <w:spacing w:before="120" w:after="120"/>
              <w:ind w:left="-94"/>
              <w:jc w:val="center"/>
              <w:rPr>
                <w:b/>
              </w:rPr>
            </w:pPr>
            <w:r w:rsidRPr="003C38C3">
              <w:rPr>
                <w:b/>
              </w:rPr>
              <w:t>Определение</w:t>
            </w:r>
          </w:p>
        </w:tc>
      </w:tr>
      <w:tr w:rsidR="00DC7D69" w:rsidRPr="003702F1" w:rsidTr="003C38C3">
        <w:trPr>
          <w:jc w:val="center"/>
        </w:trPr>
        <w:tc>
          <w:tcPr>
            <w:tcW w:w="3116" w:type="dxa"/>
            <w:vAlign w:val="center"/>
          </w:tcPr>
          <w:p w:rsidR="00DC7D69" w:rsidRPr="0053519B" w:rsidRDefault="00DC7D69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Администрация</w:t>
            </w:r>
            <w:proofErr w:type="spellEnd"/>
          </w:p>
        </w:tc>
        <w:tc>
          <w:tcPr>
            <w:tcW w:w="6346" w:type="dxa"/>
          </w:tcPr>
          <w:p w:rsidR="00DC7D69" w:rsidRPr="003702F1" w:rsidRDefault="00DC7D69" w:rsidP="008332AF">
            <w:pPr>
              <w:spacing w:before="120" w:after="120"/>
              <w:ind w:left="-94"/>
              <w:jc w:val="both"/>
            </w:pPr>
            <w:r>
              <w:t>О</w:t>
            </w:r>
            <w:r w:rsidRPr="007230D0">
              <w:t>рганы исполнительной власти субъектов Российской Федерации и органов местного самоуправления.</w:t>
            </w:r>
          </w:p>
        </w:tc>
      </w:tr>
      <w:tr w:rsidR="00273B91" w:rsidRPr="003702F1" w:rsidTr="003C38C3">
        <w:trPr>
          <w:jc w:val="center"/>
        </w:trPr>
        <w:tc>
          <w:tcPr>
            <w:tcW w:w="3116" w:type="dxa"/>
            <w:vAlign w:val="center"/>
          </w:tcPr>
          <w:p w:rsidR="00273B91" w:rsidRPr="0053519B" w:rsidRDefault="00273B91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Аналитическое</w:t>
            </w:r>
            <w:proofErr w:type="spellEnd"/>
            <w:r w:rsidRPr="0053519B">
              <w:rPr>
                <w:b/>
                <w:lang w:val="en-US"/>
              </w:rPr>
              <w:t xml:space="preserve"> (</w:t>
            </w:r>
            <w:proofErr w:type="spellStart"/>
            <w:r w:rsidRPr="0053519B">
              <w:rPr>
                <w:b/>
                <w:lang w:val="en-US"/>
              </w:rPr>
              <w:t>экспертное</w:t>
            </w:r>
            <w:proofErr w:type="spellEnd"/>
            <w:r w:rsidRPr="0053519B">
              <w:rPr>
                <w:b/>
                <w:lang w:val="en-US"/>
              </w:rPr>
              <w:t xml:space="preserve">) </w:t>
            </w:r>
            <w:proofErr w:type="spellStart"/>
            <w:r w:rsidRPr="0053519B">
              <w:rPr>
                <w:b/>
                <w:lang w:val="en-US"/>
              </w:rPr>
              <w:t>заключение</w:t>
            </w:r>
            <w:proofErr w:type="spellEnd"/>
          </w:p>
        </w:tc>
        <w:tc>
          <w:tcPr>
            <w:tcW w:w="6346" w:type="dxa"/>
          </w:tcPr>
          <w:p w:rsidR="00273B91" w:rsidRPr="003702F1" w:rsidRDefault="00273B91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3702F1">
              <w:t>Аналитическое (экспертное) заключение об индивидуальной оценке к</w:t>
            </w:r>
            <w:r w:rsidR="00896C7F">
              <w:t xml:space="preserve">редитного риска </w:t>
            </w:r>
            <w:r w:rsidR="002D1BA4">
              <w:t>контрагентов</w:t>
            </w:r>
            <w:r w:rsidRPr="003702F1">
              <w:t>.</w:t>
            </w:r>
          </w:p>
        </w:tc>
      </w:tr>
      <w:tr w:rsidR="00156816" w:rsidRPr="003702F1" w:rsidTr="003C38C3">
        <w:trPr>
          <w:jc w:val="center"/>
        </w:trPr>
        <w:tc>
          <w:tcPr>
            <w:tcW w:w="3116" w:type="dxa"/>
            <w:vAlign w:val="center"/>
          </w:tcPr>
          <w:p w:rsidR="00156816" w:rsidRPr="0053519B" w:rsidRDefault="00156816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Банк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ЕврАзЭС</w:t>
            </w:r>
            <w:proofErr w:type="spellEnd"/>
          </w:p>
        </w:tc>
        <w:tc>
          <w:tcPr>
            <w:tcW w:w="6346" w:type="dxa"/>
          </w:tcPr>
          <w:p w:rsidR="00156816" w:rsidRPr="003702F1" w:rsidRDefault="00156816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3702F1">
              <w:t>Юридическое лицо</w:t>
            </w:r>
            <w:smartTag w:uri="urn:schemas-microsoft-com:office:smarttags" w:element="PersonName">
              <w:r w:rsidRPr="003702F1">
                <w:t>,</w:t>
              </w:r>
            </w:smartTag>
            <w:r w:rsidRPr="003702F1">
              <w:t xml:space="preserve"> являющееся резидентом государства - стороны Соглашения о сотрудничестве в области организации интегрированного валютного рынка государств-членов Евразийского экономического сообщества</w:t>
            </w:r>
            <w:smartTag w:uri="urn:schemas-microsoft-com:office:smarttags" w:element="PersonName">
              <w:r w:rsidRPr="003702F1">
                <w:t>,</w:t>
              </w:r>
            </w:smartTag>
            <w:r w:rsidRPr="003702F1">
              <w:t xml:space="preserve"> заключенного 25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702F1">
                <w:t>2006 г</w:t>
              </w:r>
            </w:smartTag>
            <w:r w:rsidRPr="003702F1">
              <w:t>. в Санкт-Петербурге</w:t>
            </w:r>
            <w:smartTag w:uri="urn:schemas-microsoft-com:office:smarttags" w:element="PersonName">
              <w:r w:rsidRPr="003702F1">
                <w:t>,</w:t>
              </w:r>
            </w:smartTag>
            <w:r w:rsidRPr="003702F1">
              <w:t xml:space="preserve"> Российская Федерация (далее –</w:t>
            </w:r>
            <w:r w:rsidRPr="003702F1">
              <w:rPr>
                <w:b/>
              </w:rPr>
              <w:t xml:space="preserve"> </w:t>
            </w:r>
            <w:r w:rsidRPr="003702F1">
              <w:t>Международное  соглашение)</w:t>
            </w:r>
            <w:smartTag w:uri="urn:schemas-microsoft-com:office:smarttags" w:element="PersonName">
              <w:r w:rsidRPr="003702F1">
                <w:t>,</w:t>
              </w:r>
            </w:smartTag>
            <w:r w:rsidRPr="003702F1">
              <w:t xml:space="preserve"> которое на основании специального разрешения (лицензии или иного основания) компетентного органа Стороны Международного соглашения имеет право осуществлять банковские и валютные операции</w:t>
            </w:r>
            <w:smartTag w:uri="urn:schemas-microsoft-com:office:smarttags" w:element="PersonName">
              <w:r w:rsidRPr="003702F1">
                <w:t>,</w:t>
              </w:r>
            </w:smartTag>
            <w:r w:rsidRPr="003702F1">
              <w:t xml:space="preserve"> предусмотренные национальным законодате</w:t>
            </w:r>
            <w:r w:rsidR="002349C9">
              <w:t>льством государства учреждения б</w:t>
            </w:r>
            <w:r w:rsidRPr="003702F1">
              <w:t xml:space="preserve">анка </w:t>
            </w:r>
            <w:r w:rsidR="002349C9">
              <w:t>–</w:t>
            </w:r>
            <w:r w:rsidRPr="003702F1">
              <w:t xml:space="preserve"> нерезидента</w:t>
            </w:r>
            <w:r w:rsidR="002349C9">
              <w:t xml:space="preserve"> РФ</w:t>
            </w:r>
            <w:smartTag w:uri="urn:schemas-microsoft-com:office:smarttags" w:element="PersonName">
              <w:r w:rsidRPr="003702F1">
                <w:t>,</w:t>
              </w:r>
            </w:smartTag>
            <w:r w:rsidRPr="003702F1">
              <w:t xml:space="preserve"> и которое в силу Международного соглашения имеет право на проведение межбанковских конверсионных операций на</w:t>
            </w:r>
            <w:r w:rsidR="009431B2">
              <w:t xml:space="preserve"> территории РФ</w:t>
            </w:r>
            <w:r w:rsidRPr="003702F1">
              <w:t xml:space="preserve">. </w:t>
            </w:r>
          </w:p>
        </w:tc>
      </w:tr>
      <w:tr w:rsidR="00D349D5" w:rsidRPr="00626C09" w:rsidTr="003C38C3">
        <w:trPr>
          <w:jc w:val="center"/>
        </w:trPr>
        <w:tc>
          <w:tcPr>
            <w:tcW w:w="3116" w:type="dxa"/>
            <w:vAlign w:val="center"/>
          </w:tcPr>
          <w:p w:rsidR="00D349D5" w:rsidRPr="0053519B" w:rsidRDefault="006565A6" w:rsidP="008332AF">
            <w:pPr>
              <w:spacing w:before="120" w:after="120"/>
              <w:rPr>
                <w:b/>
              </w:rPr>
            </w:pPr>
            <w:r w:rsidRPr="0053519B">
              <w:rPr>
                <w:b/>
              </w:rPr>
              <w:t>Внутренние документы Группы «Московская Биржа»</w:t>
            </w:r>
          </w:p>
        </w:tc>
        <w:tc>
          <w:tcPr>
            <w:tcW w:w="6346" w:type="dxa"/>
          </w:tcPr>
          <w:p w:rsidR="00D349D5" w:rsidRPr="003305AF" w:rsidRDefault="006565A6" w:rsidP="008332AF">
            <w:pPr>
              <w:spacing w:before="120" w:after="120"/>
              <w:ind w:left="-65" w:hanging="14"/>
              <w:jc w:val="both"/>
              <w:rPr>
                <w:rStyle w:val="msoins0"/>
              </w:rPr>
            </w:pPr>
            <w:r w:rsidRPr="00952E30">
              <w:rPr>
                <w:rStyle w:val="msoins0"/>
              </w:rPr>
              <w:t xml:space="preserve">Внутренние документы </w:t>
            </w:r>
            <w:r w:rsidRPr="00E51AC1">
              <w:rPr>
                <w:rStyle w:val="msoins0"/>
              </w:rPr>
              <w:t xml:space="preserve">компаний Группы «Московская Биржа», регламентирующие деятельность </w:t>
            </w:r>
            <w:r w:rsidRPr="00476B3F">
              <w:rPr>
                <w:rStyle w:val="msoins0"/>
              </w:rPr>
              <w:t xml:space="preserve">контрагентов при </w:t>
            </w:r>
            <w:r w:rsidRPr="00680F9F">
              <w:rPr>
                <w:rStyle w:val="msoins0"/>
              </w:rPr>
              <w:t>осуществлении клиринговых</w:t>
            </w:r>
            <w:r w:rsidRPr="000A2C2F">
              <w:rPr>
                <w:rStyle w:val="msoins0"/>
              </w:rPr>
              <w:t xml:space="preserve"> и торговых операций на биржевых рынках Группы</w:t>
            </w:r>
            <w:r w:rsidRPr="00600C59">
              <w:rPr>
                <w:rStyle w:val="msoins0"/>
              </w:rPr>
              <w:t xml:space="preserve"> «Московская Биржа».</w:t>
            </w:r>
          </w:p>
        </w:tc>
      </w:tr>
      <w:tr w:rsidR="00273B91" w:rsidRPr="003702F1" w:rsidTr="003C38C3">
        <w:trPr>
          <w:jc w:val="center"/>
        </w:trPr>
        <w:tc>
          <w:tcPr>
            <w:tcW w:w="3116" w:type="dxa"/>
            <w:vAlign w:val="center"/>
          </w:tcPr>
          <w:p w:rsidR="00273B91" w:rsidRPr="0053519B" w:rsidRDefault="00273B91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Внутренний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рейтинг</w:t>
            </w:r>
            <w:proofErr w:type="spellEnd"/>
          </w:p>
        </w:tc>
        <w:tc>
          <w:tcPr>
            <w:tcW w:w="6346" w:type="dxa"/>
          </w:tcPr>
          <w:p w:rsidR="00273B91" w:rsidRPr="003702F1" w:rsidRDefault="006565A6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B123DC">
              <w:rPr>
                <w:rStyle w:val="msoins0"/>
              </w:rPr>
              <w:t xml:space="preserve">Формализованная оценка </w:t>
            </w:r>
            <w:r>
              <w:rPr>
                <w:rStyle w:val="msoins0"/>
              </w:rPr>
              <w:t>состояния</w:t>
            </w:r>
            <w:r w:rsidRPr="00B123DC">
              <w:rPr>
                <w:rStyle w:val="msoins0"/>
              </w:rPr>
              <w:t xml:space="preserve"> </w:t>
            </w:r>
            <w:r>
              <w:rPr>
                <w:rStyle w:val="msoins0"/>
              </w:rPr>
              <w:t>контраген</w:t>
            </w:r>
            <w:r w:rsidRPr="00B123DC">
              <w:rPr>
                <w:rStyle w:val="msoins0"/>
              </w:rPr>
              <w:t>та</w:t>
            </w:r>
            <w:r>
              <w:rPr>
                <w:rStyle w:val="msoins0"/>
              </w:rPr>
              <w:t>, основанная на анализе комплекса финансовых и нефинансовых показателей его деятельности</w:t>
            </w:r>
            <w:r w:rsidRPr="00B123DC">
              <w:rPr>
                <w:rStyle w:val="msoins0"/>
              </w:rPr>
              <w:t>.</w:t>
            </w:r>
          </w:p>
        </w:tc>
      </w:tr>
      <w:tr w:rsidR="00273B91" w:rsidRPr="003702F1" w:rsidTr="003C38C3">
        <w:trPr>
          <w:jc w:val="center"/>
        </w:trPr>
        <w:tc>
          <w:tcPr>
            <w:tcW w:w="3116" w:type="dxa"/>
            <w:vAlign w:val="center"/>
          </w:tcPr>
          <w:p w:rsidR="00273B91" w:rsidRPr="0053519B" w:rsidRDefault="00273B91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Внешний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рейтин</w:t>
            </w:r>
            <w:r w:rsidR="00AE350F" w:rsidRPr="0053519B">
              <w:rPr>
                <w:b/>
                <w:lang w:val="en-US"/>
              </w:rPr>
              <w:t>г</w:t>
            </w:r>
            <w:proofErr w:type="spellEnd"/>
          </w:p>
        </w:tc>
        <w:tc>
          <w:tcPr>
            <w:tcW w:w="6346" w:type="dxa"/>
          </w:tcPr>
          <w:p w:rsidR="00273B91" w:rsidRPr="003702F1" w:rsidRDefault="00952E30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9D61AE">
              <w:rPr>
                <w:rStyle w:val="msoins0"/>
              </w:rPr>
              <w:t xml:space="preserve">Долгосрочный кредитный рейтинг, присвоенный контрагенту или его обязательствам любым из следующих международных рейтинговых агентств: </w:t>
            </w:r>
            <w:proofErr w:type="spellStart"/>
            <w:r w:rsidRPr="009D61AE">
              <w:rPr>
                <w:rStyle w:val="msoins0"/>
              </w:rPr>
              <w:t>Standard&amp;Poor’s</w:t>
            </w:r>
            <w:proofErr w:type="spellEnd"/>
            <w:r w:rsidRPr="009D61AE">
              <w:rPr>
                <w:rStyle w:val="msoins0"/>
              </w:rPr>
              <w:t xml:space="preserve">, </w:t>
            </w:r>
            <w:proofErr w:type="spellStart"/>
            <w:r w:rsidRPr="009D61AE">
              <w:rPr>
                <w:rStyle w:val="msoins0"/>
              </w:rPr>
              <w:lastRenderedPageBreak/>
              <w:t>Fitch</w:t>
            </w:r>
            <w:proofErr w:type="spellEnd"/>
            <w:r w:rsidRPr="009D61AE">
              <w:rPr>
                <w:rStyle w:val="msoins0"/>
              </w:rPr>
              <w:t xml:space="preserve"> </w:t>
            </w:r>
            <w:proofErr w:type="spellStart"/>
            <w:r w:rsidRPr="009D61AE">
              <w:rPr>
                <w:rStyle w:val="msoins0"/>
              </w:rPr>
              <w:t>Ratings</w:t>
            </w:r>
            <w:proofErr w:type="spellEnd"/>
            <w:r w:rsidRPr="009D61AE">
              <w:rPr>
                <w:rStyle w:val="msoins0"/>
              </w:rPr>
              <w:t xml:space="preserve">, </w:t>
            </w:r>
            <w:proofErr w:type="spellStart"/>
            <w:r w:rsidRPr="009D61AE">
              <w:rPr>
                <w:rStyle w:val="msoins0"/>
              </w:rPr>
              <w:t>Moody’s</w:t>
            </w:r>
            <w:proofErr w:type="spellEnd"/>
            <w:r w:rsidRPr="009D61AE">
              <w:rPr>
                <w:rStyle w:val="msoins0"/>
              </w:rPr>
              <w:t xml:space="preserve"> </w:t>
            </w:r>
            <w:r w:rsidRPr="009D61AE">
              <w:rPr>
                <w:rStyle w:val="msoins0"/>
                <w:lang w:val="en-US"/>
              </w:rPr>
              <w:t>Investors</w:t>
            </w:r>
            <w:r w:rsidRPr="009D61AE">
              <w:rPr>
                <w:rStyle w:val="msoins0"/>
              </w:rPr>
              <w:t xml:space="preserve"> </w:t>
            </w:r>
            <w:r w:rsidRPr="009D61AE">
              <w:rPr>
                <w:rStyle w:val="msoins0"/>
                <w:lang w:val="en-US"/>
              </w:rPr>
              <w:t>Service</w:t>
            </w:r>
            <w:r w:rsidR="00E51AC1">
              <w:rPr>
                <w:rStyle w:val="msoins0"/>
              </w:rPr>
              <w:t>. Возможно та</w:t>
            </w:r>
            <w:r w:rsidR="00EF7758">
              <w:rPr>
                <w:rStyle w:val="msoins0"/>
              </w:rPr>
              <w:t>к</w:t>
            </w:r>
            <w:r w:rsidR="00E51AC1">
              <w:rPr>
                <w:rStyle w:val="msoins0"/>
              </w:rPr>
              <w:t xml:space="preserve">же использование </w:t>
            </w:r>
            <w:r w:rsidR="0042213D">
              <w:rPr>
                <w:rStyle w:val="msoins0"/>
              </w:rPr>
              <w:t>рейтингов,</w:t>
            </w:r>
            <w:r w:rsidR="00E51AC1">
              <w:rPr>
                <w:rStyle w:val="msoins0"/>
              </w:rPr>
              <w:t xml:space="preserve"> аккредитованных Банком России национальных рейтинговых </w:t>
            </w:r>
            <w:r w:rsidR="00A602AC">
              <w:rPr>
                <w:rStyle w:val="msoins0"/>
              </w:rPr>
              <w:t>агентств</w:t>
            </w:r>
            <w:r w:rsidR="00E51AC1">
              <w:rPr>
                <w:rStyle w:val="msoins0"/>
              </w:rPr>
              <w:t>.</w:t>
            </w:r>
          </w:p>
        </w:tc>
      </w:tr>
      <w:tr w:rsidR="001D3EF3" w:rsidRPr="003702F1" w:rsidTr="003C38C3">
        <w:trPr>
          <w:jc w:val="center"/>
        </w:trPr>
        <w:tc>
          <w:tcPr>
            <w:tcW w:w="3116" w:type="dxa"/>
            <w:vAlign w:val="center"/>
          </w:tcPr>
          <w:p w:rsidR="001D3EF3" w:rsidRPr="0053519B" w:rsidRDefault="00476B3F" w:rsidP="008332AF">
            <w:pPr>
              <w:spacing w:before="120" w:after="120"/>
              <w:rPr>
                <w:b/>
                <w:i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lastRenderedPageBreak/>
              <w:t>Государственная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корпорация</w:t>
            </w:r>
            <w:proofErr w:type="spellEnd"/>
            <w:r w:rsidRPr="0053519B">
              <w:rPr>
                <w:b/>
                <w:lang w:val="en-US"/>
              </w:rPr>
              <w:t xml:space="preserve"> (</w:t>
            </w:r>
            <w:proofErr w:type="spellStart"/>
            <w:r w:rsidRPr="0053519B">
              <w:rPr>
                <w:b/>
                <w:lang w:val="en-US"/>
              </w:rPr>
              <w:t>банк</w:t>
            </w:r>
            <w:proofErr w:type="spellEnd"/>
            <w:r w:rsidRPr="0053519B">
              <w:rPr>
                <w:b/>
                <w:lang w:val="en-US"/>
              </w:rPr>
              <w:t>)</w:t>
            </w:r>
          </w:p>
        </w:tc>
        <w:tc>
          <w:tcPr>
            <w:tcW w:w="6346" w:type="dxa"/>
          </w:tcPr>
          <w:p w:rsidR="001D3EF3" w:rsidRPr="003702F1" w:rsidRDefault="00476B3F" w:rsidP="008332AF">
            <w:pPr>
              <w:pStyle w:val="Text"/>
              <w:spacing w:before="120" w:after="120"/>
              <w:ind w:left="-94"/>
              <w:rPr>
                <w:b/>
                <w:lang w:val="ru-RU"/>
              </w:rPr>
            </w:pPr>
            <w:r w:rsidRPr="003C38C3">
              <w:rPr>
                <w:lang w:val="ru-RU"/>
              </w:rPr>
              <w:t>Учрежденная Российской Федерацией на основе имущественного взноса организация, которая имеет право осуществлять банковские операции, в том числе валютные операции, на территории Российской Федерации в соответствии с действующим законодательством Российской Федерации.</w:t>
            </w:r>
          </w:p>
        </w:tc>
      </w:tr>
      <w:tr w:rsidR="00E62C57" w:rsidRPr="003702F1" w:rsidTr="003C38C3">
        <w:trPr>
          <w:jc w:val="center"/>
        </w:trPr>
        <w:tc>
          <w:tcPr>
            <w:tcW w:w="3116" w:type="dxa"/>
            <w:vAlign w:val="center"/>
          </w:tcPr>
          <w:p w:rsidR="00E62C57" w:rsidRPr="0053519B" w:rsidRDefault="00E62C57" w:rsidP="008332AF">
            <w:pPr>
              <w:spacing w:before="120" w:after="120"/>
              <w:rPr>
                <w:b/>
              </w:rPr>
            </w:pPr>
            <w:r w:rsidRPr="0053519B">
              <w:rPr>
                <w:b/>
                <w:lang w:val="en-US"/>
              </w:rPr>
              <w:t>ДАКР</w:t>
            </w:r>
          </w:p>
        </w:tc>
        <w:tc>
          <w:tcPr>
            <w:tcW w:w="6346" w:type="dxa"/>
          </w:tcPr>
          <w:p w:rsidR="00E62C57" w:rsidRDefault="00E62C57" w:rsidP="008332AF">
            <w:pPr>
              <w:pStyle w:val="aff6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анализа и контроля рисков Банка НКЦ (АО)</w:t>
            </w:r>
            <w:r w:rsidR="00375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7D69" w:rsidRPr="003702F1" w:rsidTr="003C38C3">
        <w:trPr>
          <w:jc w:val="center"/>
        </w:trPr>
        <w:tc>
          <w:tcPr>
            <w:tcW w:w="3116" w:type="dxa"/>
            <w:vAlign w:val="center"/>
          </w:tcPr>
          <w:p w:rsidR="00DC7D69" w:rsidRPr="0053519B" w:rsidRDefault="00DC7D69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Дефолт</w:t>
            </w:r>
            <w:proofErr w:type="spellEnd"/>
          </w:p>
        </w:tc>
        <w:tc>
          <w:tcPr>
            <w:tcW w:w="6346" w:type="dxa"/>
          </w:tcPr>
          <w:p w:rsidR="00DC7D69" w:rsidRDefault="00DC7D69" w:rsidP="008332AF">
            <w:pPr>
              <w:pStyle w:val="aff6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230D0">
              <w:rPr>
                <w:rFonts w:ascii="Times New Roman" w:hAnsi="Times New Roman"/>
                <w:sz w:val="24"/>
                <w:szCs w:val="24"/>
              </w:rPr>
              <w:t>акт наличия (вне зависимости от других обстоятельств) хотя бы одного из следующих событий:</w:t>
            </w:r>
          </w:p>
          <w:p w:rsidR="00DC7D69" w:rsidRDefault="00DC7D69" w:rsidP="008332AF">
            <w:pPr>
              <w:pStyle w:val="aff6"/>
              <w:numPr>
                <w:ilvl w:val="0"/>
                <w:numId w:val="45"/>
              </w:numPr>
              <w:spacing w:before="120" w:after="12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заемщик</w:t>
            </w:r>
            <w:r w:rsidRPr="007230D0">
              <w:rPr>
                <w:rFonts w:ascii="Times New Roman" w:hAnsi="Times New Roman"/>
                <w:sz w:val="24"/>
                <w:szCs w:val="24"/>
              </w:rPr>
              <w:t xml:space="preserve"> признан несостоятельным (банкротом);</w:t>
            </w:r>
          </w:p>
          <w:p w:rsidR="00DC7D69" w:rsidRPr="005052EF" w:rsidRDefault="00DC7D69" w:rsidP="008332AF">
            <w:pPr>
              <w:pStyle w:val="aff6"/>
              <w:numPr>
                <w:ilvl w:val="0"/>
                <w:numId w:val="45"/>
              </w:numPr>
              <w:spacing w:before="120" w:after="12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2EF">
              <w:rPr>
                <w:rFonts w:ascii="Times New Roman" w:hAnsi="Times New Roman"/>
                <w:sz w:val="24"/>
                <w:szCs w:val="24"/>
              </w:rPr>
              <w:t>в суд подан иск Банка о признании заемщика несостоятельным (банкротом) и судом вынесено определение о принятии иска к производству;</w:t>
            </w:r>
          </w:p>
          <w:p w:rsidR="00DC7D69" w:rsidRPr="005052EF" w:rsidRDefault="00DC7D69" w:rsidP="008332AF">
            <w:pPr>
              <w:pStyle w:val="aff6"/>
              <w:numPr>
                <w:ilvl w:val="0"/>
                <w:numId w:val="45"/>
              </w:numPr>
              <w:spacing w:before="120" w:after="12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2EF">
              <w:rPr>
                <w:rFonts w:ascii="Times New Roman" w:hAnsi="Times New Roman"/>
                <w:sz w:val="24"/>
                <w:szCs w:val="24"/>
              </w:rPr>
              <w:t>в суд подан иск третьего лица (в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2EF">
              <w:rPr>
                <w:rFonts w:ascii="Times New Roman" w:hAnsi="Times New Roman"/>
                <w:sz w:val="24"/>
                <w:szCs w:val="24"/>
              </w:rPr>
              <w:t xml:space="preserve">ч. одной из компаний Группы «Московская Биржа») о признании заемщика несостоятельным (банкротом) и судом вынесено определение о принятии иска к производству </w:t>
            </w:r>
            <w:r w:rsidRPr="005F1E04">
              <w:rPr>
                <w:rFonts w:ascii="Times New Roman" w:hAnsi="Times New Roman"/>
                <w:sz w:val="24"/>
                <w:szCs w:val="24"/>
              </w:rPr>
              <w:t>(данный критерий применяется в случае принятия отдельного решения Правления или Председателя Правления Банка);</w:t>
            </w:r>
          </w:p>
          <w:p w:rsidR="00DC7D69" w:rsidRPr="00144EE2" w:rsidRDefault="00DC7D69" w:rsidP="008332AF">
            <w:pPr>
              <w:pStyle w:val="aff6"/>
              <w:numPr>
                <w:ilvl w:val="0"/>
                <w:numId w:val="45"/>
              </w:numPr>
              <w:spacing w:before="120" w:after="12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E2">
              <w:rPr>
                <w:rFonts w:ascii="Times New Roman" w:hAnsi="Times New Roman" w:cs="Times New Roman"/>
                <w:sz w:val="24"/>
                <w:szCs w:val="24"/>
              </w:rPr>
              <w:t>заемщик является устойчиво неплатежеспособным, т.е. не выполняет свои обязательства перед Банком в течение срока более 90 календарных дней;</w:t>
            </w:r>
          </w:p>
          <w:p w:rsidR="00DC7D69" w:rsidRPr="003C38C3" w:rsidRDefault="00DC7D69" w:rsidP="008332AF">
            <w:pPr>
              <w:pStyle w:val="aff6"/>
              <w:numPr>
                <w:ilvl w:val="0"/>
                <w:numId w:val="45"/>
              </w:numPr>
              <w:spacing w:before="120" w:after="120"/>
              <w:ind w:left="340" w:hanging="340"/>
              <w:jc w:val="both"/>
              <w:rPr>
                <w:rStyle w:val="msoins0"/>
                <w:rFonts w:ascii="Times New Roman" w:hAnsi="Times New Roman" w:cs="Times New Roman"/>
                <w:iCs/>
                <w:sz w:val="24"/>
                <w:szCs w:val="24"/>
              </w:rPr>
            </w:pPr>
            <w:r w:rsidRPr="00144EE2">
              <w:rPr>
                <w:rFonts w:ascii="Times New Roman" w:hAnsi="Times New Roman" w:cs="Times New Roman"/>
                <w:sz w:val="24"/>
                <w:szCs w:val="24"/>
              </w:rPr>
              <w:t>отзыв Банком России лицензии на осуществление банковских операций.</w:t>
            </w:r>
          </w:p>
        </w:tc>
      </w:tr>
      <w:tr w:rsidR="00DA3C2A" w:rsidRPr="003702F1" w:rsidTr="003C38C3">
        <w:trPr>
          <w:jc w:val="center"/>
        </w:trPr>
        <w:tc>
          <w:tcPr>
            <w:tcW w:w="3116" w:type="dxa"/>
            <w:vAlign w:val="center"/>
          </w:tcPr>
          <w:p w:rsidR="00DA3C2A" w:rsidRPr="0053519B" w:rsidRDefault="00DA3C2A" w:rsidP="008332AF">
            <w:pPr>
              <w:spacing w:before="120" w:after="120"/>
              <w:rPr>
                <w:b/>
              </w:rPr>
            </w:pPr>
            <w:proofErr w:type="spellStart"/>
            <w:r w:rsidRPr="0053519B">
              <w:rPr>
                <w:b/>
                <w:lang w:val="en-US"/>
              </w:rPr>
              <w:t>Инвестиционные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финансовые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инструменты</w:t>
            </w:r>
            <w:proofErr w:type="spellEnd"/>
          </w:p>
        </w:tc>
        <w:tc>
          <w:tcPr>
            <w:tcW w:w="6346" w:type="dxa"/>
          </w:tcPr>
          <w:p w:rsidR="00DA3C2A" w:rsidRPr="003702F1" w:rsidRDefault="00DA3C2A" w:rsidP="008332AF">
            <w:pPr>
              <w:spacing w:before="120" w:after="120"/>
              <w:ind w:left="-94"/>
              <w:jc w:val="both"/>
              <w:rPr>
                <w:rStyle w:val="msoins0"/>
                <w:highlight w:val="green"/>
              </w:rPr>
            </w:pPr>
            <w:r w:rsidRPr="003702F1">
              <w:t xml:space="preserve">Финансовые инструменты, используемые при формировании инвестиционных активов в соответствии с </w:t>
            </w:r>
            <w:r w:rsidR="003305AF" w:rsidRPr="003305AF">
              <w:t>Политик</w:t>
            </w:r>
            <w:r w:rsidR="003305AF">
              <w:t>ой</w:t>
            </w:r>
            <w:r w:rsidR="003305AF" w:rsidRPr="003305AF">
              <w:t xml:space="preserve"> осуществления казначейской деятельности Банка НКЦ (АО)</w:t>
            </w:r>
            <w:r w:rsidR="003305AF">
              <w:t>.</w:t>
            </w:r>
          </w:p>
        </w:tc>
      </w:tr>
      <w:tr w:rsidR="00DA3C2A" w:rsidRPr="003702F1" w:rsidTr="003C38C3">
        <w:trPr>
          <w:trHeight w:val="1235"/>
          <w:jc w:val="center"/>
        </w:trPr>
        <w:tc>
          <w:tcPr>
            <w:tcW w:w="3116" w:type="dxa"/>
            <w:vAlign w:val="center"/>
          </w:tcPr>
          <w:p w:rsidR="00DA3C2A" w:rsidRPr="0053519B" w:rsidRDefault="00DA3C2A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Инвестиционный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рейтинг</w:t>
            </w:r>
            <w:proofErr w:type="spellEnd"/>
          </w:p>
        </w:tc>
        <w:tc>
          <w:tcPr>
            <w:tcW w:w="6346" w:type="dxa"/>
          </w:tcPr>
          <w:p w:rsidR="00DA3C2A" w:rsidRPr="003702F1" w:rsidRDefault="00680F9F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3C38C3">
              <w:t xml:space="preserve">Рейтинг, присвоенный контрагенту или его обязательствам рейтинговым агентством </w:t>
            </w:r>
            <w:proofErr w:type="spellStart"/>
            <w:r w:rsidRPr="003C38C3">
              <w:t>Standard&amp;Poor’s</w:t>
            </w:r>
            <w:proofErr w:type="spellEnd"/>
            <w:r w:rsidRPr="003C38C3">
              <w:t xml:space="preserve"> на уровне не ниже «ВВВ-», либо иной сопоставимый внешний рейтинг по шкале соответствия рейтингов</w:t>
            </w:r>
            <w:r w:rsidR="007D0E98">
              <w:t>.</w:t>
            </w:r>
          </w:p>
        </w:tc>
      </w:tr>
      <w:tr w:rsidR="0087738E" w:rsidRPr="003702F1" w:rsidTr="003C38C3">
        <w:trPr>
          <w:jc w:val="center"/>
        </w:trPr>
        <w:tc>
          <w:tcPr>
            <w:tcW w:w="3116" w:type="dxa"/>
            <w:vAlign w:val="center"/>
          </w:tcPr>
          <w:p w:rsidR="0087738E" w:rsidRPr="0053519B" w:rsidRDefault="0087738E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Индивидуальный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предприниматель</w:t>
            </w:r>
            <w:proofErr w:type="spellEnd"/>
          </w:p>
        </w:tc>
        <w:tc>
          <w:tcPr>
            <w:tcW w:w="6346" w:type="dxa"/>
          </w:tcPr>
          <w:p w:rsidR="0087738E" w:rsidRPr="00B123DC" w:rsidRDefault="0087738E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>
              <w:t>Физическое лицо, зарегистрированное</w:t>
            </w:r>
            <w:r w:rsidRPr="00E40AEC">
              <w:t xml:space="preserve"> в установленном </w:t>
            </w:r>
            <w:r>
              <w:t>законом порядке и осуществляюще</w:t>
            </w:r>
            <w:r w:rsidRPr="00E40AEC">
              <w:t>е предпринимательскую деятельность без образования юридического лица</w:t>
            </w:r>
            <w:r w:rsidRPr="00ED4F9C">
              <w:rPr>
                <w:rStyle w:val="msoins0"/>
              </w:rPr>
              <w:t>.</w:t>
            </w:r>
          </w:p>
        </w:tc>
      </w:tr>
      <w:tr w:rsidR="0087738E" w:rsidRPr="003702F1" w:rsidTr="003C38C3">
        <w:trPr>
          <w:jc w:val="center"/>
        </w:trPr>
        <w:tc>
          <w:tcPr>
            <w:tcW w:w="3116" w:type="dxa"/>
            <w:vAlign w:val="center"/>
          </w:tcPr>
          <w:p w:rsidR="0087738E" w:rsidRPr="0053519B" w:rsidRDefault="007B6BD2" w:rsidP="008332AF">
            <w:pPr>
              <w:spacing w:before="120" w:after="120"/>
              <w:rPr>
                <w:b/>
                <w:lang w:val="en-US"/>
              </w:rPr>
            </w:pPr>
            <w:r w:rsidRPr="0053519B">
              <w:rPr>
                <w:b/>
                <w:lang w:val="en-US"/>
              </w:rPr>
              <w:t>ЦКО</w:t>
            </w:r>
          </w:p>
        </w:tc>
        <w:tc>
          <w:tcPr>
            <w:tcW w:w="6346" w:type="dxa"/>
          </w:tcPr>
          <w:p w:rsidR="0087738E" w:rsidRPr="003702F1" w:rsidRDefault="0087738E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B123DC">
              <w:rPr>
                <w:rStyle w:val="msoins0"/>
              </w:rPr>
              <w:t>Центр казначейских операций</w:t>
            </w:r>
            <w:r>
              <w:rPr>
                <w:rStyle w:val="msoins0"/>
              </w:rPr>
              <w:t xml:space="preserve"> Банка НКЦ (АО).</w:t>
            </w:r>
          </w:p>
        </w:tc>
      </w:tr>
      <w:tr w:rsidR="00A23A2C" w:rsidRPr="003702F1" w:rsidTr="003C38C3">
        <w:trPr>
          <w:jc w:val="center"/>
        </w:trPr>
        <w:tc>
          <w:tcPr>
            <w:tcW w:w="3116" w:type="dxa"/>
          </w:tcPr>
          <w:p w:rsidR="00A23A2C" w:rsidRPr="0053519B" w:rsidRDefault="00A23A2C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lastRenderedPageBreak/>
              <w:t>Казначейские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операции</w:t>
            </w:r>
            <w:proofErr w:type="spellEnd"/>
          </w:p>
        </w:tc>
        <w:tc>
          <w:tcPr>
            <w:tcW w:w="6346" w:type="dxa"/>
          </w:tcPr>
          <w:p w:rsidR="00A23A2C" w:rsidRPr="003702F1" w:rsidRDefault="00A23A2C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>
              <w:rPr>
                <w:rStyle w:val="msoins0"/>
              </w:rPr>
              <w:t>О</w:t>
            </w:r>
            <w:r w:rsidRPr="00394648">
              <w:rPr>
                <w:rStyle w:val="msoins0"/>
              </w:rPr>
              <w:t xml:space="preserve">перации по размещению временно свободных денежных средств </w:t>
            </w:r>
            <w:r>
              <w:rPr>
                <w:rStyle w:val="msoins0"/>
              </w:rPr>
              <w:t>Банка</w:t>
            </w:r>
            <w:r w:rsidRPr="00394648">
              <w:rPr>
                <w:rStyle w:val="msoins0"/>
              </w:rPr>
              <w:t xml:space="preserve"> «Национальный Клиринговый Центр» </w:t>
            </w:r>
            <w:r>
              <w:rPr>
                <w:rStyle w:val="msoins0"/>
              </w:rPr>
              <w:t xml:space="preserve">(Акционерное общество) </w:t>
            </w:r>
            <w:r w:rsidRPr="00394648">
              <w:rPr>
                <w:rStyle w:val="msoins0"/>
              </w:rPr>
              <w:t>(далее – НКЦ</w:t>
            </w:r>
            <w:r>
              <w:rPr>
                <w:rStyle w:val="msoins0"/>
              </w:rPr>
              <w:t>, Банк</w:t>
            </w:r>
            <w:r w:rsidRPr="00394648">
              <w:rPr>
                <w:rStyle w:val="msoins0"/>
              </w:rPr>
              <w:t>) в межбанковские депозиты, кредиты, конверсионные и срочные сделки, сделки купли-продажи ценных бумаг</w:t>
            </w:r>
            <w:r>
              <w:rPr>
                <w:rStyle w:val="msoins0"/>
              </w:rPr>
              <w:t xml:space="preserve"> и  драгоценных металлов</w:t>
            </w:r>
            <w:r w:rsidRPr="00394648">
              <w:rPr>
                <w:rStyle w:val="msoins0"/>
              </w:rPr>
              <w:t xml:space="preserve">, размещение </w:t>
            </w:r>
            <w:r w:rsidRPr="00394648">
              <w:t>остатков на корреспондентских счетах</w:t>
            </w:r>
            <w:r w:rsidRPr="00394648">
              <w:rPr>
                <w:rStyle w:val="msoins0"/>
              </w:rPr>
              <w:t>, и другие операции, осуществляемые Центром казначейских операций в соответствии с Положением</w:t>
            </w:r>
            <w:r w:rsidR="006E4532">
              <w:rPr>
                <w:rStyle w:val="msoins0"/>
              </w:rPr>
              <w:t xml:space="preserve"> о Центре казначейских операций</w:t>
            </w:r>
            <w:r w:rsidRPr="00394648">
              <w:rPr>
                <w:rStyle w:val="msoins0"/>
              </w:rPr>
              <w:t>, Политик</w:t>
            </w:r>
            <w:r>
              <w:rPr>
                <w:rStyle w:val="msoins0"/>
              </w:rPr>
              <w:t>ой</w:t>
            </w:r>
            <w:r w:rsidRPr="00394648">
              <w:rPr>
                <w:rStyle w:val="msoins0"/>
              </w:rPr>
              <w:t xml:space="preserve"> осуществления казначейской деятельности и Инвестиционной декларацией портфеля НКЦ.</w:t>
            </w:r>
          </w:p>
        </w:tc>
      </w:tr>
      <w:tr w:rsidR="0035000E" w:rsidRPr="003702F1" w:rsidTr="003C38C3">
        <w:trPr>
          <w:jc w:val="center"/>
        </w:trPr>
        <w:tc>
          <w:tcPr>
            <w:tcW w:w="3116" w:type="dxa"/>
            <w:vAlign w:val="center"/>
          </w:tcPr>
          <w:p w:rsidR="0035000E" w:rsidRPr="0053519B" w:rsidRDefault="0035000E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Контрагент</w:t>
            </w:r>
            <w:proofErr w:type="spellEnd"/>
          </w:p>
          <w:p w:rsidR="0035000E" w:rsidRPr="0053519B" w:rsidRDefault="0035000E" w:rsidP="008332AF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6346" w:type="dxa"/>
          </w:tcPr>
          <w:p w:rsidR="0035000E" w:rsidRPr="00B123DC" w:rsidRDefault="002C4239" w:rsidP="008332AF">
            <w:pPr>
              <w:numPr>
                <w:ilvl w:val="0"/>
                <w:numId w:val="44"/>
              </w:numPr>
              <w:spacing w:before="120" w:after="120"/>
              <w:ind w:left="371" w:hanging="280"/>
              <w:jc w:val="both"/>
              <w:rPr>
                <w:rStyle w:val="msoins0"/>
              </w:rPr>
            </w:pPr>
            <w:r>
              <w:rPr>
                <w:rStyle w:val="msoins0"/>
              </w:rPr>
              <w:t>у</w:t>
            </w:r>
            <w:r w:rsidR="0035000E" w:rsidRPr="00B123DC">
              <w:rPr>
                <w:rStyle w:val="msoins0"/>
              </w:rPr>
              <w:t>частник</w:t>
            </w:r>
            <w:r>
              <w:rPr>
                <w:rStyle w:val="msoins0"/>
              </w:rPr>
              <w:t>и</w:t>
            </w:r>
            <w:r w:rsidR="0035000E" w:rsidRPr="00B123DC">
              <w:rPr>
                <w:rStyle w:val="msoins0"/>
              </w:rPr>
              <w:t xml:space="preserve"> клиринга, допущенн</w:t>
            </w:r>
            <w:r>
              <w:rPr>
                <w:rStyle w:val="msoins0"/>
              </w:rPr>
              <w:t>ые</w:t>
            </w:r>
            <w:r w:rsidR="0035000E" w:rsidRPr="00B123DC">
              <w:rPr>
                <w:rStyle w:val="msoins0"/>
              </w:rPr>
              <w:t xml:space="preserve"> к сделкам с Центральным </w:t>
            </w:r>
            <w:r w:rsidR="0035000E">
              <w:rPr>
                <w:rStyle w:val="msoins0"/>
              </w:rPr>
              <w:t>контраген</w:t>
            </w:r>
            <w:r w:rsidR="0035000E" w:rsidRPr="00B123DC">
              <w:rPr>
                <w:rStyle w:val="msoins0"/>
              </w:rPr>
              <w:t>том;</w:t>
            </w:r>
          </w:p>
          <w:p w:rsidR="0035000E" w:rsidRDefault="002C4239" w:rsidP="008332AF">
            <w:pPr>
              <w:numPr>
                <w:ilvl w:val="0"/>
                <w:numId w:val="44"/>
              </w:numPr>
              <w:spacing w:before="120" w:after="120"/>
              <w:ind w:left="371" w:hanging="280"/>
              <w:jc w:val="both"/>
            </w:pPr>
            <w:r>
              <w:rPr>
                <w:rStyle w:val="msoins0"/>
              </w:rPr>
              <w:t>о</w:t>
            </w:r>
            <w:r w:rsidR="0035000E">
              <w:rPr>
                <w:rStyle w:val="msoins0"/>
              </w:rPr>
              <w:t>рганизаци</w:t>
            </w:r>
            <w:r>
              <w:rPr>
                <w:rStyle w:val="msoins0"/>
              </w:rPr>
              <w:t>и</w:t>
            </w:r>
            <w:r w:rsidR="0035000E" w:rsidRPr="00B123DC">
              <w:rPr>
                <w:rStyle w:val="msoins0"/>
              </w:rPr>
              <w:t>, являющ</w:t>
            </w:r>
            <w:r>
              <w:rPr>
                <w:rStyle w:val="msoins0"/>
              </w:rPr>
              <w:t>иеся</w:t>
            </w:r>
            <w:r w:rsidR="0035000E">
              <w:rPr>
                <w:rStyle w:val="msoins0"/>
              </w:rPr>
              <w:t xml:space="preserve"> контрагент</w:t>
            </w:r>
            <w:r>
              <w:rPr>
                <w:rStyle w:val="msoins0"/>
              </w:rPr>
              <w:t>ами</w:t>
            </w:r>
            <w:r w:rsidR="0035000E" w:rsidRPr="00B123DC">
              <w:rPr>
                <w:rStyle w:val="msoins0"/>
              </w:rPr>
              <w:t xml:space="preserve"> </w:t>
            </w:r>
            <w:r w:rsidR="0035000E">
              <w:t>Банка НКЦ (АО)</w:t>
            </w:r>
            <w:r w:rsidR="0035000E" w:rsidRPr="00B123DC">
              <w:t xml:space="preserve"> по</w:t>
            </w:r>
            <w:r w:rsidR="0035000E" w:rsidRPr="00B123DC">
              <w:rPr>
                <w:rStyle w:val="msoins0"/>
              </w:rPr>
              <w:t xml:space="preserve"> </w:t>
            </w:r>
            <w:r w:rsidR="00FE70B5">
              <w:rPr>
                <w:rStyle w:val="msoins0"/>
              </w:rPr>
              <w:t>операциям</w:t>
            </w:r>
            <w:r w:rsidR="0035000E" w:rsidRPr="00B123DC">
              <w:rPr>
                <w:rStyle w:val="msoins0"/>
              </w:rPr>
              <w:t xml:space="preserve"> Казначейства</w:t>
            </w:r>
            <w:r w:rsidR="0035000E">
              <w:t>;</w:t>
            </w:r>
          </w:p>
          <w:p w:rsidR="00BF00F9" w:rsidRDefault="00BF00F9" w:rsidP="008332AF">
            <w:pPr>
              <w:pStyle w:val="af8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ind w:left="371" w:hanging="280"/>
              <w:jc w:val="both"/>
              <w:rPr>
                <w:rStyle w:val="msoins0"/>
              </w:rPr>
            </w:pPr>
            <w:r>
              <w:rPr>
                <w:rStyle w:val="msoins0"/>
              </w:rPr>
              <w:t>к</w:t>
            </w:r>
            <w:r w:rsidRPr="00BC5891">
              <w:rPr>
                <w:rStyle w:val="msoins0"/>
              </w:rPr>
              <w:t>редитны</w:t>
            </w:r>
            <w:r>
              <w:rPr>
                <w:rStyle w:val="msoins0"/>
              </w:rPr>
              <w:t>е</w:t>
            </w:r>
            <w:r w:rsidRPr="00BC5891">
              <w:rPr>
                <w:rStyle w:val="msoins0"/>
              </w:rPr>
              <w:t xml:space="preserve"> организац</w:t>
            </w:r>
            <w:r>
              <w:rPr>
                <w:rStyle w:val="msoins0"/>
              </w:rPr>
              <w:t>ии, НКО, государственные корпорации (банки), м</w:t>
            </w:r>
            <w:r w:rsidRPr="00BC5891">
              <w:rPr>
                <w:rStyle w:val="msoins0"/>
              </w:rPr>
              <w:t>еждународны</w:t>
            </w:r>
            <w:r>
              <w:rPr>
                <w:rStyle w:val="msoins0"/>
              </w:rPr>
              <w:t>е</w:t>
            </w:r>
            <w:r w:rsidRPr="00BC5891">
              <w:rPr>
                <w:rStyle w:val="msoins0"/>
              </w:rPr>
              <w:t xml:space="preserve"> организаци</w:t>
            </w:r>
            <w:r>
              <w:rPr>
                <w:rStyle w:val="msoins0"/>
              </w:rPr>
              <w:t>и</w:t>
            </w:r>
            <w:r w:rsidRPr="00BC5891">
              <w:rPr>
                <w:rStyle w:val="msoins0"/>
              </w:rPr>
              <w:t xml:space="preserve">, </w:t>
            </w:r>
            <w:r>
              <w:rPr>
                <w:rStyle w:val="msoins0"/>
              </w:rPr>
              <w:t>кредитные организации – нерезиденты;</w:t>
            </w:r>
            <w:r w:rsidRPr="00B123DC">
              <w:rPr>
                <w:rStyle w:val="msoins0"/>
              </w:rPr>
              <w:t xml:space="preserve"> </w:t>
            </w:r>
          </w:p>
          <w:p w:rsidR="00BF00F9" w:rsidRDefault="00BF00F9" w:rsidP="008332AF">
            <w:pPr>
              <w:pStyle w:val="af8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ind w:left="371" w:hanging="280"/>
              <w:jc w:val="both"/>
              <w:rPr>
                <w:rStyle w:val="msoins0"/>
              </w:rPr>
            </w:pPr>
            <w:r>
              <w:rPr>
                <w:rStyle w:val="msoins0"/>
              </w:rPr>
              <w:t>ф</w:t>
            </w:r>
            <w:r w:rsidRPr="00B123DC">
              <w:rPr>
                <w:rStyle w:val="msoins0"/>
              </w:rPr>
              <w:t>инансов</w:t>
            </w:r>
            <w:r>
              <w:rPr>
                <w:rStyle w:val="msoins0"/>
              </w:rPr>
              <w:t>ые</w:t>
            </w:r>
            <w:r w:rsidRPr="00B123DC">
              <w:rPr>
                <w:rStyle w:val="msoins0"/>
              </w:rPr>
              <w:t xml:space="preserve"> компани</w:t>
            </w:r>
            <w:r>
              <w:rPr>
                <w:rStyle w:val="msoins0"/>
              </w:rPr>
              <w:t>и, ф</w:t>
            </w:r>
            <w:r w:rsidRPr="00B123DC">
              <w:rPr>
                <w:rStyle w:val="msoins0"/>
              </w:rPr>
              <w:t>инансовы</w:t>
            </w:r>
            <w:r>
              <w:rPr>
                <w:rStyle w:val="msoins0"/>
              </w:rPr>
              <w:t>е</w:t>
            </w:r>
            <w:r w:rsidRPr="00B123DC">
              <w:rPr>
                <w:rStyle w:val="msoins0"/>
              </w:rPr>
              <w:t xml:space="preserve"> компани</w:t>
            </w:r>
            <w:r>
              <w:rPr>
                <w:rStyle w:val="msoins0"/>
              </w:rPr>
              <w:t>и – нерезиденты;</w:t>
            </w:r>
          </w:p>
          <w:p w:rsidR="00BF00F9" w:rsidRDefault="00BF00F9" w:rsidP="008332AF">
            <w:pPr>
              <w:pStyle w:val="af8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ind w:left="371" w:hanging="280"/>
              <w:jc w:val="both"/>
              <w:rPr>
                <w:rStyle w:val="msoins0"/>
              </w:rPr>
            </w:pPr>
            <w:r>
              <w:rPr>
                <w:rStyle w:val="msoins0"/>
              </w:rPr>
              <w:t>э</w:t>
            </w:r>
            <w:r w:rsidRPr="00B123DC">
              <w:rPr>
                <w:rStyle w:val="msoins0"/>
              </w:rPr>
              <w:t>митент</w:t>
            </w:r>
            <w:r>
              <w:rPr>
                <w:rStyle w:val="msoins0"/>
              </w:rPr>
              <w:t>ы, эмитенты-нерезиденты и корпорации;</w:t>
            </w:r>
          </w:p>
          <w:p w:rsidR="00BF00F9" w:rsidRDefault="00BF00F9" w:rsidP="008332AF">
            <w:pPr>
              <w:pStyle w:val="af8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ind w:left="371" w:hanging="280"/>
              <w:jc w:val="both"/>
              <w:rPr>
                <w:rStyle w:val="msoins0"/>
              </w:rPr>
            </w:pPr>
            <w:r>
              <w:rPr>
                <w:rStyle w:val="msoins0"/>
              </w:rPr>
              <w:t>индивидуальные предприниматели;</w:t>
            </w:r>
          </w:p>
          <w:p w:rsidR="00BF00F9" w:rsidRDefault="00BF00F9" w:rsidP="008332AF">
            <w:pPr>
              <w:pStyle w:val="af8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ind w:left="371" w:hanging="280"/>
              <w:jc w:val="both"/>
              <w:rPr>
                <w:rStyle w:val="msoins0"/>
              </w:rPr>
            </w:pPr>
            <w:r>
              <w:rPr>
                <w:rStyle w:val="msoins0"/>
              </w:rPr>
              <w:t>товарные склады и элеваторы;</w:t>
            </w:r>
          </w:p>
          <w:p w:rsidR="00BF00F9" w:rsidRDefault="00BF00F9" w:rsidP="008332AF">
            <w:pPr>
              <w:pStyle w:val="af8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ind w:left="371" w:hanging="280"/>
              <w:jc w:val="both"/>
              <w:rPr>
                <w:rStyle w:val="msoins0"/>
              </w:rPr>
            </w:pPr>
            <w:r>
              <w:rPr>
                <w:rStyle w:val="msoins0"/>
              </w:rPr>
              <w:t>трейдеры товарного рынка;</w:t>
            </w:r>
          </w:p>
          <w:p w:rsidR="00BF00F9" w:rsidRDefault="00BF00F9" w:rsidP="008332AF">
            <w:pPr>
              <w:pStyle w:val="af8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ind w:left="371" w:hanging="280"/>
              <w:jc w:val="both"/>
              <w:rPr>
                <w:rStyle w:val="msoins0"/>
              </w:rPr>
            </w:pPr>
            <w:r>
              <w:rPr>
                <w:rStyle w:val="msoins0"/>
              </w:rPr>
              <w:t>страховые компании;</w:t>
            </w:r>
          </w:p>
          <w:p w:rsidR="0035000E" w:rsidRPr="003C38C3" w:rsidRDefault="00BF00F9" w:rsidP="008332AF">
            <w:pPr>
              <w:pStyle w:val="af8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ind w:left="371" w:hanging="280"/>
              <w:jc w:val="both"/>
              <w:rPr>
                <w:rStyle w:val="msoins0"/>
              </w:rPr>
            </w:pPr>
            <w:r>
              <w:rPr>
                <w:rStyle w:val="msoins0"/>
              </w:rPr>
              <w:t>администрации и суверенные заемщики.</w:t>
            </w:r>
          </w:p>
        </w:tc>
      </w:tr>
      <w:tr w:rsidR="0035000E" w:rsidRPr="003702F1" w:rsidTr="003C38C3">
        <w:trPr>
          <w:jc w:val="center"/>
        </w:trPr>
        <w:tc>
          <w:tcPr>
            <w:tcW w:w="3116" w:type="dxa"/>
            <w:vAlign w:val="center"/>
          </w:tcPr>
          <w:p w:rsidR="0035000E" w:rsidRPr="0053519B" w:rsidRDefault="0035000E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Корпорация</w:t>
            </w:r>
            <w:proofErr w:type="spellEnd"/>
          </w:p>
        </w:tc>
        <w:tc>
          <w:tcPr>
            <w:tcW w:w="6346" w:type="dxa"/>
          </w:tcPr>
          <w:p w:rsidR="0035000E" w:rsidRPr="003702F1" w:rsidRDefault="0035000E" w:rsidP="008332AF">
            <w:pPr>
              <w:spacing w:before="120" w:after="120"/>
              <w:ind w:left="-94"/>
              <w:jc w:val="both"/>
            </w:pPr>
            <w:r w:rsidRPr="00B544AE">
              <w:t xml:space="preserve">Юридическое лицо – участник клиринга, </w:t>
            </w:r>
            <w:r w:rsidRPr="00B544AE">
              <w:rPr>
                <w:rStyle w:val="msoins0"/>
              </w:rPr>
              <w:t>допущенный к сделкам с Центральным контрагентом,</w:t>
            </w:r>
            <w:r w:rsidRPr="00B544AE">
              <w:t xml:space="preserve"> имеющее право осуществлять любые виды финансово-хозяйственной деятельности в соответствии с национальным законодательством с целью извлечения прибыли, не имеющее лицензии на осуществление профессиональной деятельности на рынке ценных бумаг или специального разрешения (лицензии и/или иного основания) компетентного органа государства учреждения на осуществление банковских операций.</w:t>
            </w:r>
          </w:p>
        </w:tc>
      </w:tr>
      <w:tr w:rsidR="00DE6F47" w:rsidRPr="003702F1" w:rsidTr="003C38C3">
        <w:trPr>
          <w:jc w:val="center"/>
        </w:trPr>
        <w:tc>
          <w:tcPr>
            <w:tcW w:w="3116" w:type="dxa"/>
            <w:vAlign w:val="center"/>
          </w:tcPr>
          <w:p w:rsidR="00DE6F47" w:rsidRPr="0053519B" w:rsidRDefault="00DE6F47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Кредитный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риск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</w:p>
          <w:p w:rsidR="00DE6F47" w:rsidRPr="0053519B" w:rsidRDefault="00DE6F47" w:rsidP="008332AF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6346" w:type="dxa"/>
          </w:tcPr>
          <w:p w:rsidR="00DE6F47" w:rsidRPr="003702F1" w:rsidRDefault="00DE6F47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>
              <w:rPr>
                <w:rStyle w:val="msoins0"/>
              </w:rPr>
              <w:t xml:space="preserve">Риск </w:t>
            </w:r>
            <w:r w:rsidRPr="003702F1">
              <w:rPr>
                <w:rStyle w:val="msoins0"/>
              </w:rPr>
              <w:t>финансовых потерь (снижения доходов) в резуль</w:t>
            </w:r>
            <w:r>
              <w:rPr>
                <w:rStyle w:val="msoins0"/>
              </w:rPr>
              <w:t xml:space="preserve">тате неспособности </w:t>
            </w:r>
            <w:r w:rsidR="00C24181">
              <w:rPr>
                <w:rStyle w:val="msoins0"/>
              </w:rPr>
              <w:t>контрагентов</w:t>
            </w:r>
            <w:r w:rsidRPr="003702F1">
              <w:rPr>
                <w:rStyle w:val="msoins0"/>
              </w:rPr>
              <w:t xml:space="preserve"> исполнять свои обязательства, в том числе по выплате процентов и основной суммы долга в соответствии со сроками и условиями кредитных договоров, сроками и условиями</w:t>
            </w:r>
            <w:r>
              <w:rPr>
                <w:rStyle w:val="msoins0"/>
              </w:rPr>
              <w:t xml:space="preserve"> выпусков долговых ценных бумаг.</w:t>
            </w:r>
          </w:p>
        </w:tc>
      </w:tr>
      <w:tr w:rsidR="00600C59" w:rsidRPr="003702F1" w:rsidTr="003C38C3">
        <w:trPr>
          <w:jc w:val="center"/>
        </w:trPr>
        <w:tc>
          <w:tcPr>
            <w:tcW w:w="3116" w:type="dxa"/>
            <w:vAlign w:val="center"/>
          </w:tcPr>
          <w:p w:rsidR="00600C59" w:rsidRPr="0053519B" w:rsidRDefault="00600C59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lastRenderedPageBreak/>
              <w:t>Кредитная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организация</w:t>
            </w:r>
            <w:proofErr w:type="spellEnd"/>
          </w:p>
        </w:tc>
        <w:tc>
          <w:tcPr>
            <w:tcW w:w="6346" w:type="dxa"/>
          </w:tcPr>
          <w:p w:rsidR="00600C59" w:rsidRDefault="00600C59" w:rsidP="008332AF">
            <w:pPr>
              <w:autoSpaceDE w:val="0"/>
              <w:autoSpaceDN w:val="0"/>
              <w:adjustRightInd w:val="0"/>
              <w:spacing w:before="120" w:after="120"/>
              <w:ind w:left="-108"/>
              <w:jc w:val="both"/>
              <w:rPr>
                <w:rStyle w:val="msoins0"/>
              </w:rPr>
            </w:pPr>
            <w:r>
              <w:t xml:space="preserve">Юридическое лицо, которое на основании специального разрешения (лицензии) Банка России имеет право осуществлять банковские операции (предусмотренные Федеральным законом </w:t>
            </w:r>
            <w:r w:rsidR="003976D6" w:rsidRPr="00EC0212">
              <w:t>от 02.12.1990</w:t>
            </w:r>
            <w:r w:rsidR="003976D6">
              <w:t xml:space="preserve"> </w:t>
            </w:r>
            <w:r>
              <w:t>№ 395-1 «О банках и банковской деятельности»).</w:t>
            </w:r>
          </w:p>
        </w:tc>
      </w:tr>
      <w:tr w:rsidR="00600C59" w:rsidRPr="003702F1" w:rsidTr="003C38C3">
        <w:trPr>
          <w:jc w:val="center"/>
        </w:trPr>
        <w:tc>
          <w:tcPr>
            <w:tcW w:w="3116" w:type="dxa"/>
            <w:vAlign w:val="center"/>
          </w:tcPr>
          <w:p w:rsidR="00600C59" w:rsidRPr="0053519B" w:rsidRDefault="00600C59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Кредитная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организация</w:t>
            </w:r>
            <w:proofErr w:type="spellEnd"/>
            <w:r w:rsidRPr="0053519B">
              <w:rPr>
                <w:b/>
                <w:lang w:val="en-US"/>
              </w:rPr>
              <w:t xml:space="preserve"> - </w:t>
            </w:r>
            <w:proofErr w:type="spellStart"/>
            <w:r w:rsidRPr="0053519B">
              <w:rPr>
                <w:b/>
                <w:lang w:val="en-US"/>
              </w:rPr>
              <w:t>нерезидент</w:t>
            </w:r>
            <w:proofErr w:type="spellEnd"/>
          </w:p>
        </w:tc>
        <w:tc>
          <w:tcPr>
            <w:tcW w:w="6346" w:type="dxa"/>
          </w:tcPr>
          <w:p w:rsidR="00600C59" w:rsidRPr="003702F1" w:rsidRDefault="00600C59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9D61AE">
              <w:rPr>
                <w:spacing w:val="-2"/>
              </w:rPr>
              <w:t>Юридическое лицо, являющееся нерезидентом, которое на основании специального разрешения (лицензии или иного основания) компетентного органа государства учреждения имеет право осуществлять банковские операции, предусмотренные личным законом кредитной организации-нерезидента.</w:t>
            </w:r>
          </w:p>
        </w:tc>
      </w:tr>
      <w:tr w:rsidR="00DE6F47" w:rsidRPr="003702F1" w:rsidTr="003C38C3">
        <w:trPr>
          <w:jc w:val="center"/>
        </w:trPr>
        <w:tc>
          <w:tcPr>
            <w:tcW w:w="3116" w:type="dxa"/>
            <w:vAlign w:val="center"/>
          </w:tcPr>
          <w:p w:rsidR="00DE6F47" w:rsidRPr="0053519B" w:rsidRDefault="00DE6F47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Ломбардный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список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Банка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России</w:t>
            </w:r>
            <w:proofErr w:type="spellEnd"/>
          </w:p>
        </w:tc>
        <w:tc>
          <w:tcPr>
            <w:tcW w:w="6346" w:type="dxa"/>
          </w:tcPr>
          <w:p w:rsidR="00DE6F47" w:rsidRPr="003702F1" w:rsidRDefault="00DE6F47" w:rsidP="008332AF">
            <w:pPr>
              <w:autoSpaceDE w:val="0"/>
              <w:autoSpaceDN w:val="0"/>
              <w:adjustRightInd w:val="0"/>
              <w:spacing w:before="120" w:after="120"/>
              <w:ind w:left="-94"/>
              <w:jc w:val="both"/>
              <w:outlineLvl w:val="1"/>
              <w:rPr>
                <w:highlight w:val="green"/>
              </w:rPr>
            </w:pPr>
            <w:r w:rsidRPr="003702F1">
              <w:t>Пе</w:t>
            </w:r>
            <w:r>
              <w:t>речень ценных бумаг, принимаемых</w:t>
            </w:r>
            <w:r w:rsidRPr="003702F1">
              <w:t xml:space="preserve"> в обеспечение кредитов Банка России. Ломбардный список</w:t>
            </w:r>
            <w:r>
              <w:t xml:space="preserve"> Банка России, изменения и дополнения к нему устанавливаю</w:t>
            </w:r>
            <w:r w:rsidRPr="003702F1">
              <w:t>тся нормативными документами Банка Р</w:t>
            </w:r>
            <w:r>
              <w:t>оссии и публикую</w:t>
            </w:r>
            <w:r w:rsidRPr="003702F1">
              <w:t xml:space="preserve">тся </w:t>
            </w:r>
            <w:r w:rsidR="0012117D" w:rsidRPr="0012117D">
              <w:t>на официальном сайте Банка России в информационно-коммуникационной сети Интернет</w:t>
            </w:r>
            <w:r w:rsidR="0012117D">
              <w:t>.</w:t>
            </w:r>
          </w:p>
        </w:tc>
      </w:tr>
      <w:tr w:rsidR="002238C2" w:rsidRPr="003702F1" w:rsidTr="003C38C3">
        <w:trPr>
          <w:jc w:val="center"/>
        </w:trPr>
        <w:tc>
          <w:tcPr>
            <w:tcW w:w="3116" w:type="dxa"/>
            <w:vAlign w:val="center"/>
          </w:tcPr>
          <w:p w:rsidR="002238C2" w:rsidRPr="0053519B" w:rsidRDefault="002238C2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Международная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организация</w:t>
            </w:r>
            <w:proofErr w:type="spellEnd"/>
          </w:p>
        </w:tc>
        <w:tc>
          <w:tcPr>
            <w:tcW w:w="6346" w:type="dxa"/>
          </w:tcPr>
          <w:p w:rsidR="002238C2" w:rsidRPr="004E0B8B" w:rsidRDefault="002238C2" w:rsidP="008332AF">
            <w:pPr>
              <w:pStyle w:val="Text"/>
              <w:spacing w:before="120" w:after="120"/>
              <w:ind w:left="-94"/>
              <w:rPr>
                <w:lang w:val="ru-RU"/>
              </w:rPr>
            </w:pPr>
            <w:r w:rsidRPr="003C38C3">
              <w:rPr>
                <w:lang w:val="ru-RU"/>
              </w:rPr>
              <w:t>Юридическое лицо, учрежденное в соответствии с международным договором Российской Федерации и имеющее право осуществлять банковские операции, в том числе валютные операции, на территории Российской Федерации в соответствии с международными договорами Российской Федерации и законодательством Российской Федерации.</w:t>
            </w:r>
          </w:p>
        </w:tc>
      </w:tr>
      <w:tr w:rsidR="00DE6F47" w:rsidRPr="003702F1" w:rsidTr="003C38C3">
        <w:trPr>
          <w:jc w:val="center"/>
        </w:trPr>
        <w:tc>
          <w:tcPr>
            <w:tcW w:w="3116" w:type="dxa"/>
            <w:vAlign w:val="center"/>
          </w:tcPr>
          <w:p w:rsidR="00DE6F47" w:rsidRPr="0053519B" w:rsidRDefault="00DE6F47" w:rsidP="008332AF">
            <w:pPr>
              <w:spacing w:before="120" w:after="120"/>
              <w:rPr>
                <w:b/>
              </w:rPr>
            </w:pPr>
            <w:proofErr w:type="spellStart"/>
            <w:r w:rsidRPr="0053519B">
              <w:rPr>
                <w:b/>
                <w:lang w:val="en-US"/>
              </w:rPr>
              <w:t>Материнская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организация</w:t>
            </w:r>
            <w:proofErr w:type="spellEnd"/>
          </w:p>
        </w:tc>
        <w:tc>
          <w:tcPr>
            <w:tcW w:w="6346" w:type="dxa"/>
          </w:tcPr>
          <w:p w:rsidR="00DE6F47" w:rsidRPr="006C3BA7" w:rsidRDefault="00DE6F47" w:rsidP="008332AF">
            <w:pPr>
              <w:spacing w:before="120" w:after="120"/>
              <w:ind w:left="-94"/>
              <w:jc w:val="both"/>
              <w:rPr>
                <w:rStyle w:val="msoins0"/>
                <w:b/>
              </w:rPr>
            </w:pPr>
            <w:r w:rsidRPr="00096205">
              <w:rPr>
                <w:rStyle w:val="msoins0"/>
              </w:rPr>
              <w:t xml:space="preserve">Юридическое лицо, </w:t>
            </w:r>
            <w:r w:rsidRPr="00096205">
              <w:t>которое в силу преобладающего участия в уставном капитале, либо в соответствии с заключенным договором, либо иным образом имеет возможность определять решения, принимаемые другим юридическим лицом.</w:t>
            </w:r>
            <w:r w:rsidRPr="004E0B8B">
              <w:rPr>
                <w:rStyle w:val="msoins0"/>
                <w:b/>
              </w:rPr>
              <w:t xml:space="preserve"> </w:t>
            </w:r>
          </w:p>
        </w:tc>
      </w:tr>
      <w:tr w:rsidR="00DE6F47" w:rsidRPr="003702F1" w:rsidTr="003C38C3">
        <w:trPr>
          <w:jc w:val="center"/>
        </w:trPr>
        <w:tc>
          <w:tcPr>
            <w:tcW w:w="3116" w:type="dxa"/>
            <w:vAlign w:val="center"/>
          </w:tcPr>
          <w:p w:rsidR="00DE6F47" w:rsidRPr="0053519B" w:rsidRDefault="00DE6F47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Методика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определения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внутренних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рейтингов</w:t>
            </w:r>
            <w:proofErr w:type="spellEnd"/>
          </w:p>
        </w:tc>
        <w:tc>
          <w:tcPr>
            <w:tcW w:w="6346" w:type="dxa"/>
          </w:tcPr>
          <w:p w:rsidR="00DE6F47" w:rsidRPr="008C0696" w:rsidRDefault="00DE6F47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8C0696">
              <w:rPr>
                <w:rStyle w:val="msoins0"/>
              </w:rPr>
              <w:t>Методика определения</w:t>
            </w:r>
            <w:r>
              <w:rPr>
                <w:rStyle w:val="msoins0"/>
              </w:rPr>
              <w:t xml:space="preserve"> </w:t>
            </w:r>
            <w:r w:rsidR="006B534A">
              <w:rPr>
                <w:rStyle w:val="msoins0"/>
              </w:rPr>
              <w:t>Банком НКЦ (АО)</w:t>
            </w:r>
            <w:r>
              <w:rPr>
                <w:rStyle w:val="msoins0"/>
              </w:rPr>
              <w:t xml:space="preserve"> </w:t>
            </w:r>
            <w:r w:rsidRPr="008C0696">
              <w:rPr>
                <w:rStyle w:val="msoins0"/>
              </w:rPr>
              <w:t>внутренних рейтингов контрагентов</w:t>
            </w:r>
            <w:r>
              <w:rPr>
                <w:rStyle w:val="msoins0"/>
              </w:rPr>
              <w:t xml:space="preserve">, утвержденная </w:t>
            </w:r>
            <w:r w:rsidR="006B2DF8">
              <w:rPr>
                <w:rStyle w:val="msoins0"/>
              </w:rPr>
              <w:t>Правлением</w:t>
            </w:r>
            <w:r>
              <w:rPr>
                <w:rStyle w:val="msoins0"/>
              </w:rPr>
              <w:t xml:space="preserve"> </w:t>
            </w:r>
            <w:r w:rsidR="006B534A">
              <w:rPr>
                <w:rStyle w:val="msoins0"/>
              </w:rPr>
              <w:t>Банка НКЦ (АО).</w:t>
            </w:r>
          </w:p>
        </w:tc>
      </w:tr>
      <w:tr w:rsidR="00DE6F47" w:rsidRPr="003702F1" w:rsidTr="003C38C3">
        <w:trPr>
          <w:jc w:val="center"/>
        </w:trPr>
        <w:tc>
          <w:tcPr>
            <w:tcW w:w="3116" w:type="dxa"/>
            <w:vAlign w:val="center"/>
          </w:tcPr>
          <w:p w:rsidR="00DE6F47" w:rsidRPr="0053519B" w:rsidRDefault="00DE6F47" w:rsidP="008332AF">
            <w:pPr>
              <w:spacing w:before="120" w:after="120"/>
              <w:rPr>
                <w:b/>
                <w:lang w:val="en-US"/>
              </w:rPr>
            </w:pPr>
            <w:r w:rsidRPr="0053519B">
              <w:rPr>
                <w:b/>
                <w:lang w:val="en-US"/>
              </w:rPr>
              <w:t xml:space="preserve">МСФО </w:t>
            </w:r>
          </w:p>
        </w:tc>
        <w:tc>
          <w:tcPr>
            <w:tcW w:w="6346" w:type="dxa"/>
          </w:tcPr>
          <w:p w:rsidR="00DE6F47" w:rsidRPr="003702F1" w:rsidRDefault="00DE6F47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3702F1">
              <w:rPr>
                <w:rStyle w:val="msoins0"/>
              </w:rPr>
              <w:t xml:space="preserve">Международные </w:t>
            </w:r>
            <w:r>
              <w:rPr>
                <w:rStyle w:val="msoins0"/>
              </w:rPr>
              <w:t>стандарты финансовой отчетности.</w:t>
            </w:r>
          </w:p>
        </w:tc>
      </w:tr>
      <w:tr w:rsidR="006B534A" w:rsidRPr="003702F1" w:rsidTr="003C38C3">
        <w:trPr>
          <w:jc w:val="center"/>
        </w:trPr>
        <w:tc>
          <w:tcPr>
            <w:tcW w:w="3116" w:type="dxa"/>
            <w:vAlign w:val="center"/>
          </w:tcPr>
          <w:p w:rsidR="006B534A" w:rsidRPr="0053519B" w:rsidRDefault="006B534A" w:rsidP="008332AF">
            <w:pPr>
              <w:spacing w:before="120" w:after="120"/>
              <w:rPr>
                <w:b/>
                <w:lang w:val="en-US"/>
              </w:rPr>
            </w:pPr>
            <w:r w:rsidRPr="0053519B">
              <w:rPr>
                <w:b/>
                <w:lang w:val="en-US"/>
              </w:rPr>
              <w:t>НКО</w:t>
            </w:r>
          </w:p>
        </w:tc>
        <w:tc>
          <w:tcPr>
            <w:tcW w:w="6346" w:type="dxa"/>
          </w:tcPr>
          <w:p w:rsidR="006B534A" w:rsidRPr="003702F1" w:rsidRDefault="006B534A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>
              <w:rPr>
                <w:rStyle w:val="msoins0"/>
              </w:rPr>
              <w:t>Небанковская кредитная организация, имеющая лицензию Банка России на осуществление отдельных банковских операций</w:t>
            </w:r>
            <w:r>
              <w:t xml:space="preserve">, </w:t>
            </w:r>
            <w:r w:rsidRPr="00D31CEB">
              <w:t>предусмотренных Федеральным законом № 395-1 «О банках и банковской деятельности».</w:t>
            </w:r>
          </w:p>
        </w:tc>
      </w:tr>
      <w:tr w:rsidR="00DE6F47" w:rsidRPr="003702F1" w:rsidTr="003C38C3">
        <w:trPr>
          <w:jc w:val="center"/>
        </w:trPr>
        <w:tc>
          <w:tcPr>
            <w:tcW w:w="3116" w:type="dxa"/>
            <w:vAlign w:val="center"/>
          </w:tcPr>
          <w:p w:rsidR="00DE6F47" w:rsidRPr="0053519B" w:rsidRDefault="00DE6F47" w:rsidP="008332AF">
            <w:pPr>
              <w:spacing w:before="120" w:after="120"/>
              <w:rPr>
                <w:b/>
                <w:lang w:val="en-US"/>
              </w:rPr>
            </w:pPr>
            <w:r w:rsidRPr="0053519B">
              <w:rPr>
                <w:b/>
                <w:lang w:val="en-US"/>
              </w:rPr>
              <w:t>РСБУ</w:t>
            </w:r>
          </w:p>
        </w:tc>
        <w:tc>
          <w:tcPr>
            <w:tcW w:w="6346" w:type="dxa"/>
          </w:tcPr>
          <w:p w:rsidR="00DE6F47" w:rsidRPr="003702F1" w:rsidRDefault="00DE6F47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 w:rsidRPr="003702F1">
              <w:rPr>
                <w:rStyle w:val="msoins0"/>
              </w:rPr>
              <w:t>Российские стандарты бухгалтерского учета и отчетности</w:t>
            </w:r>
            <w:r w:rsidR="00B7330B">
              <w:rPr>
                <w:rStyle w:val="msoins0"/>
              </w:rPr>
              <w:t>.</w:t>
            </w:r>
          </w:p>
        </w:tc>
      </w:tr>
      <w:tr w:rsidR="002D30A9" w:rsidRPr="003702F1" w:rsidTr="003C38C3">
        <w:trPr>
          <w:jc w:val="center"/>
        </w:trPr>
        <w:tc>
          <w:tcPr>
            <w:tcW w:w="3116" w:type="dxa"/>
            <w:vAlign w:val="center"/>
          </w:tcPr>
          <w:p w:rsidR="002D30A9" w:rsidRPr="0053519B" w:rsidRDefault="002D30A9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Страховая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компания</w:t>
            </w:r>
            <w:proofErr w:type="spellEnd"/>
          </w:p>
        </w:tc>
        <w:tc>
          <w:tcPr>
            <w:tcW w:w="6346" w:type="dxa"/>
          </w:tcPr>
          <w:p w:rsidR="002D30A9" w:rsidRDefault="002D30A9" w:rsidP="008332AF">
            <w:pPr>
              <w:spacing w:before="120" w:after="120"/>
              <w:ind w:left="-94"/>
              <w:jc w:val="both"/>
              <w:rPr>
                <w:rStyle w:val="msoins0"/>
              </w:rPr>
            </w:pPr>
            <w:r>
              <w:rPr>
                <w:rStyle w:val="msoins0"/>
              </w:rPr>
              <w:t>Юридическое лицо (резидент или нерезидент), имеющее лицензию на осуществление страховой деятельности по российским или национальным стандартам.</w:t>
            </w:r>
          </w:p>
        </w:tc>
      </w:tr>
      <w:tr w:rsidR="00DE6F47" w:rsidRPr="00862CBC" w:rsidTr="003C38C3">
        <w:trPr>
          <w:jc w:val="center"/>
        </w:trPr>
        <w:tc>
          <w:tcPr>
            <w:tcW w:w="3116" w:type="dxa"/>
            <w:vAlign w:val="center"/>
          </w:tcPr>
          <w:p w:rsidR="00DE6F47" w:rsidRPr="0053519B" w:rsidRDefault="00DE6F47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lastRenderedPageBreak/>
              <w:t>Суверенный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рейтинг</w:t>
            </w:r>
            <w:proofErr w:type="spellEnd"/>
          </w:p>
        </w:tc>
        <w:tc>
          <w:tcPr>
            <w:tcW w:w="6346" w:type="dxa"/>
          </w:tcPr>
          <w:p w:rsidR="00DE6F47" w:rsidRPr="003C38C3" w:rsidRDefault="00DE6F47" w:rsidP="008332AF">
            <w:pPr>
              <w:spacing w:before="120" w:after="120"/>
              <w:ind w:left="-94"/>
              <w:jc w:val="both"/>
            </w:pPr>
            <w:r w:rsidRPr="003C38C3">
              <w:t xml:space="preserve">Долгосрочный кредитный рейтинг государства, присвоенный одним из международных агентств </w:t>
            </w:r>
            <w:proofErr w:type="spellStart"/>
            <w:r w:rsidRPr="003C38C3">
              <w:t>Standard&amp;Poor’s</w:t>
            </w:r>
            <w:proofErr w:type="spellEnd"/>
            <w:r w:rsidRPr="003C38C3">
              <w:t xml:space="preserve">, </w:t>
            </w:r>
            <w:proofErr w:type="spellStart"/>
            <w:r w:rsidRPr="003C38C3">
              <w:t>Fitch</w:t>
            </w:r>
            <w:proofErr w:type="spellEnd"/>
            <w:r w:rsidRPr="003C38C3">
              <w:t xml:space="preserve"> </w:t>
            </w:r>
            <w:proofErr w:type="spellStart"/>
            <w:r w:rsidRPr="003C38C3">
              <w:t>Ratings</w:t>
            </w:r>
            <w:proofErr w:type="spellEnd"/>
            <w:r w:rsidRPr="003C38C3">
              <w:t xml:space="preserve"> и/или </w:t>
            </w:r>
            <w:proofErr w:type="spellStart"/>
            <w:r w:rsidRPr="003C38C3">
              <w:t>Moody’s</w:t>
            </w:r>
            <w:proofErr w:type="spellEnd"/>
            <w:r w:rsidRPr="003C38C3">
              <w:t>. В рамках настоящих Методических рекомендаций используются следующие кредитные рейтинги:</w:t>
            </w:r>
          </w:p>
          <w:p w:rsidR="00DE6F47" w:rsidRPr="003C38C3" w:rsidRDefault="00DE6F47" w:rsidP="008332AF">
            <w:pPr>
              <w:spacing w:before="120" w:after="120"/>
              <w:ind w:left="-94"/>
              <w:jc w:val="both"/>
            </w:pPr>
            <w:proofErr w:type="spellStart"/>
            <w:r w:rsidRPr="003C38C3">
              <w:t>Standard&amp;Poor’s</w:t>
            </w:r>
            <w:proofErr w:type="spellEnd"/>
            <w:r w:rsidRPr="003C38C3">
              <w:t xml:space="preserve"> – долгосрочный кредитный рейтинг эмитента по обязательствам в иностранной валюте (</w:t>
            </w:r>
            <w:proofErr w:type="spellStart"/>
            <w:r w:rsidRPr="00132908">
              <w:t>Foreign</w:t>
            </w:r>
            <w:proofErr w:type="spellEnd"/>
            <w:r w:rsidRPr="00132908">
              <w:t xml:space="preserve"> </w:t>
            </w:r>
            <w:proofErr w:type="spellStart"/>
            <w:r w:rsidRPr="00132908">
              <w:t>Long</w:t>
            </w:r>
            <w:proofErr w:type="spellEnd"/>
            <w:r w:rsidRPr="00132908">
              <w:t xml:space="preserve"> </w:t>
            </w:r>
            <w:proofErr w:type="spellStart"/>
            <w:r w:rsidRPr="00132908">
              <w:t>Term</w:t>
            </w:r>
            <w:proofErr w:type="spellEnd"/>
            <w:r w:rsidRPr="003C38C3">
              <w:t xml:space="preserve"> </w:t>
            </w:r>
            <w:proofErr w:type="spellStart"/>
            <w:r w:rsidRPr="005119C8">
              <w:t>Issuer</w:t>
            </w:r>
            <w:proofErr w:type="spellEnd"/>
            <w:r w:rsidRPr="005119C8">
              <w:t xml:space="preserve"> </w:t>
            </w:r>
            <w:proofErr w:type="spellStart"/>
            <w:r w:rsidRPr="005119C8">
              <w:t>Credit</w:t>
            </w:r>
            <w:proofErr w:type="spellEnd"/>
            <w:r w:rsidRPr="005119C8">
              <w:t xml:space="preserve"> </w:t>
            </w:r>
            <w:proofErr w:type="spellStart"/>
            <w:r w:rsidRPr="005119C8">
              <w:t>Rating</w:t>
            </w:r>
            <w:proofErr w:type="spellEnd"/>
            <w:r w:rsidRPr="005119C8">
              <w:t>);</w:t>
            </w:r>
          </w:p>
          <w:p w:rsidR="00DE6F47" w:rsidRPr="003C38C3" w:rsidRDefault="00DE6F47" w:rsidP="008332AF">
            <w:pPr>
              <w:spacing w:before="120" w:after="120"/>
              <w:ind w:left="-94"/>
              <w:jc w:val="both"/>
            </w:pPr>
            <w:proofErr w:type="spellStart"/>
            <w:r w:rsidRPr="003C38C3">
              <w:t>Moody’s</w:t>
            </w:r>
            <w:proofErr w:type="spellEnd"/>
            <w:r w:rsidRPr="003C38C3">
              <w:t xml:space="preserve"> – долгосрочный рейтинг эмитента по обязательствам в иностранной валюте (</w:t>
            </w:r>
            <w:proofErr w:type="spellStart"/>
            <w:r w:rsidRPr="003C38C3">
              <w:t>Long</w:t>
            </w:r>
            <w:proofErr w:type="spellEnd"/>
            <w:r w:rsidRPr="003C38C3">
              <w:t xml:space="preserve"> </w:t>
            </w:r>
            <w:proofErr w:type="spellStart"/>
            <w:r w:rsidRPr="003C38C3">
              <w:t>Term</w:t>
            </w:r>
            <w:proofErr w:type="spellEnd"/>
            <w:r w:rsidRPr="003C38C3">
              <w:t xml:space="preserve"> </w:t>
            </w:r>
            <w:proofErr w:type="spellStart"/>
            <w:r w:rsidRPr="003C38C3">
              <w:t>Issuer</w:t>
            </w:r>
            <w:proofErr w:type="spellEnd"/>
            <w:r w:rsidRPr="003C38C3">
              <w:t xml:space="preserve"> </w:t>
            </w:r>
            <w:proofErr w:type="spellStart"/>
            <w:r w:rsidRPr="003C38C3">
              <w:t>Rating</w:t>
            </w:r>
            <w:proofErr w:type="spellEnd"/>
            <w:r w:rsidRPr="003C38C3">
              <w:t xml:space="preserve"> (</w:t>
            </w:r>
            <w:proofErr w:type="spellStart"/>
            <w:r w:rsidRPr="00132908">
              <w:t>Foreign</w:t>
            </w:r>
            <w:proofErr w:type="spellEnd"/>
            <w:r>
              <w:t>)</w:t>
            </w:r>
            <w:r w:rsidRPr="003C38C3">
              <w:t>);</w:t>
            </w:r>
          </w:p>
          <w:p w:rsidR="00DE6F47" w:rsidRDefault="00DE6F47" w:rsidP="008332AF">
            <w:pPr>
              <w:spacing w:before="120" w:after="120"/>
              <w:ind w:left="-94"/>
              <w:jc w:val="both"/>
            </w:pPr>
            <w:proofErr w:type="spellStart"/>
            <w:r w:rsidRPr="003C38C3">
              <w:t>Fitch</w:t>
            </w:r>
            <w:proofErr w:type="spellEnd"/>
            <w:r w:rsidRPr="003C38C3">
              <w:t xml:space="preserve"> </w:t>
            </w:r>
            <w:proofErr w:type="spellStart"/>
            <w:r w:rsidRPr="003C38C3">
              <w:t>Ratings</w:t>
            </w:r>
            <w:proofErr w:type="spellEnd"/>
            <w:r w:rsidRPr="003C38C3">
              <w:t xml:space="preserve"> - долгосрочный рейтинг дефолта эмитента по обязательствам в иностранной валюте (</w:t>
            </w:r>
            <w:proofErr w:type="spellStart"/>
            <w:r w:rsidRPr="003C38C3">
              <w:t>Long</w:t>
            </w:r>
            <w:proofErr w:type="spellEnd"/>
            <w:r w:rsidRPr="003C38C3">
              <w:t xml:space="preserve"> </w:t>
            </w:r>
            <w:proofErr w:type="spellStart"/>
            <w:r w:rsidRPr="003C38C3">
              <w:t>Term</w:t>
            </w:r>
            <w:proofErr w:type="spellEnd"/>
            <w:r w:rsidRPr="003C38C3">
              <w:t xml:space="preserve"> </w:t>
            </w:r>
            <w:proofErr w:type="spellStart"/>
            <w:r w:rsidRPr="003C38C3">
              <w:t>Issuer</w:t>
            </w:r>
            <w:proofErr w:type="spellEnd"/>
            <w:r w:rsidRPr="003C38C3">
              <w:t xml:space="preserve"> </w:t>
            </w:r>
            <w:proofErr w:type="spellStart"/>
            <w:r w:rsidRPr="003C38C3">
              <w:t>Default</w:t>
            </w:r>
            <w:proofErr w:type="spellEnd"/>
            <w:r w:rsidRPr="003C38C3">
              <w:t xml:space="preserve"> </w:t>
            </w:r>
            <w:proofErr w:type="spellStart"/>
            <w:r w:rsidRPr="003C38C3">
              <w:t>Rating</w:t>
            </w:r>
            <w:proofErr w:type="spellEnd"/>
            <w:r w:rsidRPr="003C38C3">
              <w:t>).</w:t>
            </w:r>
          </w:p>
          <w:p w:rsidR="00AC0843" w:rsidRPr="00132908" w:rsidRDefault="00AC0843" w:rsidP="008332AF">
            <w:pPr>
              <w:spacing w:before="120" w:after="120"/>
              <w:ind w:left="-94"/>
              <w:jc w:val="both"/>
              <w:rPr>
                <w:rStyle w:val="msoins0"/>
                <w:color w:val="000000"/>
              </w:rPr>
            </w:pPr>
            <w:r>
              <w:rPr>
                <w:rStyle w:val="msoins0"/>
              </w:rPr>
              <w:t>Возможно также использование рейтингов, аккредитованных Банком России национальных рейтинговых агентств.</w:t>
            </w:r>
          </w:p>
        </w:tc>
      </w:tr>
      <w:tr w:rsidR="00AC0843" w:rsidRPr="00862CBC" w:rsidTr="003976D6">
        <w:trPr>
          <w:jc w:val="center"/>
        </w:trPr>
        <w:tc>
          <w:tcPr>
            <w:tcW w:w="3116" w:type="dxa"/>
          </w:tcPr>
          <w:p w:rsidR="00AC0843" w:rsidRPr="00AC0843" w:rsidRDefault="00AC0843" w:rsidP="008332AF">
            <w:pPr>
              <w:spacing w:before="120" w:after="120"/>
              <w:rPr>
                <w:b/>
                <w:lang w:val="en-US"/>
              </w:rPr>
            </w:pPr>
            <w:r w:rsidRPr="00AC0843">
              <w:rPr>
                <w:rStyle w:val="msoins0"/>
                <w:b/>
              </w:rPr>
              <w:t>Суверенный заемщик</w:t>
            </w:r>
          </w:p>
        </w:tc>
        <w:tc>
          <w:tcPr>
            <w:tcW w:w="6346" w:type="dxa"/>
          </w:tcPr>
          <w:p w:rsidR="00AC0843" w:rsidRPr="003C38C3" w:rsidRDefault="00AC0843" w:rsidP="008332AF">
            <w:pPr>
              <w:spacing w:before="120" w:after="120"/>
              <w:ind w:left="-94"/>
              <w:jc w:val="both"/>
            </w:pPr>
            <w:r>
              <w:t>Правительства, органы</w:t>
            </w:r>
            <w:r w:rsidRPr="001538A2">
              <w:t xml:space="preserve"> федеральн</w:t>
            </w:r>
            <w:r>
              <w:t>ой власти, и организации, которым в соответствии с законодательством соответствующих стран предоставлено право осуществлять заимствования от имени государства.</w:t>
            </w:r>
          </w:p>
        </w:tc>
      </w:tr>
      <w:tr w:rsidR="002D30A9" w:rsidRPr="00862CBC" w:rsidTr="003C38C3">
        <w:trPr>
          <w:jc w:val="center"/>
        </w:trPr>
        <w:tc>
          <w:tcPr>
            <w:tcW w:w="3116" w:type="dxa"/>
            <w:vAlign w:val="center"/>
          </w:tcPr>
          <w:p w:rsidR="002D30A9" w:rsidRPr="0053519B" w:rsidRDefault="002D30A9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Товарный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склад</w:t>
            </w:r>
            <w:proofErr w:type="spellEnd"/>
          </w:p>
        </w:tc>
        <w:tc>
          <w:tcPr>
            <w:tcW w:w="6346" w:type="dxa"/>
          </w:tcPr>
          <w:p w:rsidR="002D30A9" w:rsidRPr="003C38C3" w:rsidRDefault="002D30A9" w:rsidP="008332AF">
            <w:pPr>
              <w:spacing w:before="120" w:after="120"/>
              <w:ind w:left="-94"/>
              <w:jc w:val="both"/>
            </w:pPr>
            <w:r w:rsidRPr="003C38C3">
              <w:t>Аккредитованное Банком НКЦ (АО) как Оператором товарных поставок юридическое лицо, оказывающее в рамках предпринимательской деятельности услуги по хранению товаров (кроме зерна и семян масличных культур) и иные связанные с хранением услуги.</w:t>
            </w:r>
          </w:p>
        </w:tc>
      </w:tr>
      <w:tr w:rsidR="002D30A9" w:rsidRPr="00862CBC" w:rsidTr="003C38C3">
        <w:trPr>
          <w:jc w:val="center"/>
        </w:trPr>
        <w:tc>
          <w:tcPr>
            <w:tcW w:w="3116" w:type="dxa"/>
            <w:vAlign w:val="center"/>
          </w:tcPr>
          <w:p w:rsidR="002D30A9" w:rsidRPr="0053519B" w:rsidRDefault="002D30A9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Трейдер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товарного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рынка</w:t>
            </w:r>
            <w:proofErr w:type="spellEnd"/>
          </w:p>
        </w:tc>
        <w:tc>
          <w:tcPr>
            <w:tcW w:w="6346" w:type="dxa"/>
          </w:tcPr>
          <w:p w:rsidR="002D30A9" w:rsidRPr="003C38C3" w:rsidRDefault="002D30A9" w:rsidP="008332AF">
            <w:pPr>
              <w:spacing w:before="120" w:after="120"/>
              <w:ind w:left="-94"/>
              <w:jc w:val="both"/>
            </w:pPr>
            <w:r w:rsidRPr="003C38C3">
              <w:t>Юридическое лицо, являющееся участником клиринга, допущенное к сделкам на товарном рынке, за исключением профессиональных участников рынка ценных бумаг.</w:t>
            </w:r>
          </w:p>
          <w:p w:rsidR="002D30A9" w:rsidRPr="003C38C3" w:rsidRDefault="002D30A9" w:rsidP="008332AF">
            <w:pPr>
              <w:spacing w:before="120" w:after="120"/>
              <w:ind w:left="-94"/>
              <w:jc w:val="both"/>
            </w:pPr>
            <w:r w:rsidRPr="003C38C3">
              <w:t>Трейдерами товарного рынка признаются, в том числе, юридические лица, имеющие статус аккредитованного товарного склада.</w:t>
            </w:r>
          </w:p>
        </w:tc>
      </w:tr>
      <w:tr w:rsidR="002D30A9" w:rsidRPr="00862CBC" w:rsidTr="003C38C3">
        <w:trPr>
          <w:jc w:val="center"/>
        </w:trPr>
        <w:tc>
          <w:tcPr>
            <w:tcW w:w="3116" w:type="dxa"/>
            <w:vAlign w:val="center"/>
          </w:tcPr>
          <w:p w:rsidR="002D30A9" w:rsidRPr="0053519B" w:rsidRDefault="002D30A9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Участник</w:t>
            </w:r>
            <w:proofErr w:type="spellEnd"/>
            <w:r w:rsidRPr="0053519B">
              <w:rPr>
                <w:b/>
                <w:lang w:val="en-US"/>
              </w:rPr>
              <w:t xml:space="preserve"> клиринга (</w:t>
            </w:r>
            <w:proofErr w:type="spellStart"/>
            <w:r w:rsidRPr="0053519B">
              <w:rPr>
                <w:b/>
                <w:lang w:val="en-US"/>
              </w:rPr>
              <w:t>Участник</w:t>
            </w:r>
            <w:proofErr w:type="spellEnd"/>
            <w:r w:rsidRPr="0053519B">
              <w:rPr>
                <w:b/>
                <w:lang w:val="en-US"/>
              </w:rPr>
              <w:t>)</w:t>
            </w:r>
          </w:p>
        </w:tc>
        <w:tc>
          <w:tcPr>
            <w:tcW w:w="6346" w:type="dxa"/>
          </w:tcPr>
          <w:p w:rsidR="002D30A9" w:rsidRPr="003C38C3" w:rsidRDefault="002D30A9" w:rsidP="008332AF">
            <w:pPr>
              <w:spacing w:before="120" w:after="120"/>
              <w:ind w:left="-94"/>
              <w:jc w:val="both"/>
            </w:pPr>
            <w:r w:rsidRPr="003C38C3">
              <w:t>Участник клиринга, допущенный к сделкам с центральным контрагентом.</w:t>
            </w:r>
          </w:p>
        </w:tc>
      </w:tr>
      <w:tr w:rsidR="002D30A9" w:rsidRPr="003702F1" w:rsidTr="003C38C3">
        <w:trPr>
          <w:jc w:val="center"/>
        </w:trPr>
        <w:tc>
          <w:tcPr>
            <w:tcW w:w="3116" w:type="dxa"/>
            <w:vAlign w:val="center"/>
          </w:tcPr>
          <w:p w:rsidR="002D30A9" w:rsidRPr="0053519B" w:rsidRDefault="002D30A9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Финансовая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компания</w:t>
            </w:r>
            <w:proofErr w:type="spellEnd"/>
          </w:p>
        </w:tc>
        <w:tc>
          <w:tcPr>
            <w:tcW w:w="6346" w:type="dxa"/>
          </w:tcPr>
          <w:p w:rsidR="002D30A9" w:rsidRPr="003C6754" w:rsidRDefault="002D30A9" w:rsidP="008332AF">
            <w:pPr>
              <w:spacing w:before="120" w:after="120"/>
              <w:ind w:left="-94"/>
              <w:jc w:val="both"/>
              <w:rPr>
                <w:rStyle w:val="msoins0"/>
                <w:highlight w:val="green"/>
              </w:rPr>
            </w:pPr>
            <w:r w:rsidRPr="00503D2F">
              <w:rPr>
                <w:rStyle w:val="msoins0"/>
                <w:spacing w:val="-6"/>
              </w:rPr>
              <w:t xml:space="preserve">Юридическое лицо - резидент, являющееся профессиональным участником рынка ценных бумаг, основной деятельностью которого является осуществление </w:t>
            </w:r>
            <w:r w:rsidRPr="00503D2F">
              <w:rPr>
                <w:spacing w:val="-6"/>
                <w:szCs w:val="20"/>
              </w:rPr>
              <w:t>дилерской, брокерской деятельности и (или) деятельности по управлению ценными бумагами</w:t>
            </w:r>
            <w:r w:rsidRPr="00503D2F">
              <w:rPr>
                <w:rStyle w:val="msoins0"/>
                <w:spacing w:val="-6"/>
              </w:rPr>
              <w:t>.</w:t>
            </w:r>
          </w:p>
        </w:tc>
      </w:tr>
      <w:tr w:rsidR="008D4FCA" w:rsidRPr="003702F1" w:rsidTr="003C38C3">
        <w:trPr>
          <w:jc w:val="center"/>
        </w:trPr>
        <w:tc>
          <w:tcPr>
            <w:tcW w:w="3116" w:type="dxa"/>
            <w:vAlign w:val="center"/>
          </w:tcPr>
          <w:p w:rsidR="008D4FCA" w:rsidRPr="0053519B" w:rsidRDefault="008D4FCA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Финансовая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  <w:proofErr w:type="spellStart"/>
            <w:r w:rsidRPr="0053519B">
              <w:rPr>
                <w:b/>
                <w:lang w:val="en-US"/>
              </w:rPr>
              <w:t>компания</w:t>
            </w:r>
            <w:proofErr w:type="spellEnd"/>
            <w:r w:rsidRPr="0053519B">
              <w:rPr>
                <w:b/>
                <w:lang w:val="en-US"/>
              </w:rPr>
              <w:t xml:space="preserve"> - </w:t>
            </w:r>
            <w:proofErr w:type="spellStart"/>
            <w:r w:rsidRPr="0053519B">
              <w:rPr>
                <w:b/>
                <w:lang w:val="en-US"/>
              </w:rPr>
              <w:t>нерезидент</w:t>
            </w:r>
            <w:proofErr w:type="spellEnd"/>
          </w:p>
        </w:tc>
        <w:tc>
          <w:tcPr>
            <w:tcW w:w="6346" w:type="dxa"/>
          </w:tcPr>
          <w:p w:rsidR="008D4FCA" w:rsidRPr="00503D2F" w:rsidRDefault="008D4FCA" w:rsidP="008332AF">
            <w:pPr>
              <w:spacing w:before="120" w:after="120"/>
              <w:ind w:left="-94"/>
              <w:jc w:val="both"/>
              <w:rPr>
                <w:rStyle w:val="msoins0"/>
                <w:spacing w:val="-6"/>
              </w:rPr>
            </w:pPr>
            <w:r w:rsidRPr="00503D2F">
              <w:rPr>
                <w:rStyle w:val="msoins0"/>
                <w:spacing w:val="-6"/>
              </w:rPr>
              <w:t xml:space="preserve">Юридическое лицо - нерезидент, являющееся профессиональным участником рынка ценных бумаг, основной деятельностью которого является осуществление </w:t>
            </w:r>
            <w:r w:rsidRPr="00503D2F">
              <w:rPr>
                <w:spacing w:val="-6"/>
                <w:szCs w:val="20"/>
              </w:rPr>
              <w:t xml:space="preserve">дилерской, </w:t>
            </w:r>
            <w:r w:rsidRPr="00503D2F">
              <w:rPr>
                <w:spacing w:val="-6"/>
                <w:szCs w:val="20"/>
              </w:rPr>
              <w:lastRenderedPageBreak/>
              <w:t>брокерской деятельности и (или) деятельности по управлению ценными бумагами</w:t>
            </w:r>
            <w:r w:rsidRPr="00503D2F">
              <w:rPr>
                <w:rStyle w:val="msoins0"/>
                <w:spacing w:val="-6"/>
              </w:rPr>
              <w:t>.</w:t>
            </w:r>
          </w:p>
        </w:tc>
      </w:tr>
      <w:tr w:rsidR="008D4FCA" w:rsidRPr="003702F1" w:rsidTr="003C38C3">
        <w:trPr>
          <w:jc w:val="center"/>
        </w:trPr>
        <w:tc>
          <w:tcPr>
            <w:tcW w:w="3116" w:type="dxa"/>
            <w:vAlign w:val="center"/>
          </w:tcPr>
          <w:p w:rsidR="008D4FCA" w:rsidRPr="0053519B" w:rsidRDefault="008D4FCA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lastRenderedPageBreak/>
              <w:t>Элеватор</w:t>
            </w:r>
            <w:proofErr w:type="spellEnd"/>
          </w:p>
        </w:tc>
        <w:tc>
          <w:tcPr>
            <w:tcW w:w="6346" w:type="dxa"/>
          </w:tcPr>
          <w:p w:rsidR="008D4FCA" w:rsidRPr="003C6754" w:rsidRDefault="008D4FCA" w:rsidP="008332AF">
            <w:pPr>
              <w:spacing w:before="120" w:after="120"/>
              <w:ind w:left="-94"/>
              <w:jc w:val="both"/>
              <w:rPr>
                <w:rStyle w:val="msoins0"/>
                <w:highlight w:val="yellow"/>
              </w:rPr>
            </w:pPr>
            <w:r>
              <w:rPr>
                <w:rStyle w:val="msoins0"/>
              </w:rPr>
              <w:t>А</w:t>
            </w:r>
            <w:r w:rsidRPr="00ED4F9C">
              <w:rPr>
                <w:rStyle w:val="msoins0"/>
              </w:rPr>
              <w:t>ккредитованн</w:t>
            </w:r>
            <w:r>
              <w:rPr>
                <w:rStyle w:val="msoins0"/>
              </w:rPr>
              <w:t>ое</w:t>
            </w:r>
            <w:r w:rsidRPr="00ED4F9C">
              <w:rPr>
                <w:rStyle w:val="msoins0"/>
              </w:rPr>
              <w:t xml:space="preserve"> </w:t>
            </w:r>
            <w:r>
              <w:rPr>
                <w:rStyle w:val="msoins0"/>
              </w:rPr>
              <w:t>Банком НКЦ (АО) как О</w:t>
            </w:r>
            <w:r w:rsidRPr="00ED4F9C">
              <w:rPr>
                <w:rStyle w:val="msoins0"/>
              </w:rPr>
              <w:t xml:space="preserve">ператором товарных поставок </w:t>
            </w:r>
            <w:r>
              <w:rPr>
                <w:rStyle w:val="msoins0"/>
              </w:rPr>
              <w:t>юридическое лицо или индивидуальный предприниматель</w:t>
            </w:r>
            <w:r w:rsidRPr="00ED4F9C">
              <w:rPr>
                <w:rStyle w:val="msoins0"/>
              </w:rPr>
              <w:t>, осуществляющ</w:t>
            </w:r>
            <w:r>
              <w:rPr>
                <w:rStyle w:val="msoins0"/>
              </w:rPr>
              <w:t>ее</w:t>
            </w:r>
            <w:r w:rsidRPr="00ED4F9C">
              <w:rPr>
                <w:rStyle w:val="msoins0"/>
              </w:rPr>
              <w:t xml:space="preserve"> деятельность по </w:t>
            </w:r>
            <w:r>
              <w:rPr>
                <w:rStyle w:val="msoins0"/>
              </w:rPr>
              <w:t xml:space="preserve">приемке, </w:t>
            </w:r>
            <w:r w:rsidRPr="00ED4F9C">
              <w:rPr>
                <w:rStyle w:val="msoins0"/>
              </w:rPr>
              <w:t xml:space="preserve">хранению </w:t>
            </w:r>
            <w:r>
              <w:rPr>
                <w:rStyle w:val="msoins0"/>
              </w:rPr>
              <w:t xml:space="preserve">и отгрузке зерна и семян масличных культур </w:t>
            </w:r>
            <w:r w:rsidRPr="00ED4F9C">
              <w:rPr>
                <w:rStyle w:val="msoins0"/>
              </w:rPr>
              <w:t>в качестве одной из целей своей профессиональной деятельности и оказывающ</w:t>
            </w:r>
            <w:r>
              <w:rPr>
                <w:rStyle w:val="msoins0"/>
              </w:rPr>
              <w:t>ее</w:t>
            </w:r>
            <w:r w:rsidRPr="00ED4F9C">
              <w:rPr>
                <w:rStyle w:val="msoins0"/>
              </w:rPr>
              <w:t xml:space="preserve"> связанные с хранением услуги.</w:t>
            </w:r>
          </w:p>
        </w:tc>
      </w:tr>
      <w:tr w:rsidR="008D4FCA" w:rsidRPr="003702F1" w:rsidTr="003C38C3">
        <w:trPr>
          <w:jc w:val="center"/>
        </w:trPr>
        <w:tc>
          <w:tcPr>
            <w:tcW w:w="3116" w:type="dxa"/>
            <w:vAlign w:val="center"/>
          </w:tcPr>
          <w:p w:rsidR="008D4FCA" w:rsidRPr="0053519B" w:rsidRDefault="008D4FCA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Эмитент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</w:p>
        </w:tc>
        <w:tc>
          <w:tcPr>
            <w:tcW w:w="6346" w:type="dxa"/>
          </w:tcPr>
          <w:p w:rsidR="008D4FCA" w:rsidRPr="003C6754" w:rsidRDefault="008D4FCA" w:rsidP="008332AF">
            <w:pPr>
              <w:spacing w:before="120" w:after="120"/>
              <w:ind w:left="-94"/>
              <w:jc w:val="both"/>
            </w:pPr>
            <w:r w:rsidRPr="00503D2F">
              <w:rPr>
                <w:rStyle w:val="msoins0"/>
                <w:spacing w:val="-2"/>
              </w:rPr>
              <w:t>Юридическое лицо-резидент (за исключением кредитных организаций, финансовых компаний, товарных складов и элеваторов, трейдеров товарного рынка, администраций, суверенных заемщиков, страховых компаний), которое выпускает (эмитирует) ценные бумаги и несет обязательства перед их владельцами по осуществлению прав, закрепленных этими ценными бумагами.</w:t>
            </w:r>
          </w:p>
        </w:tc>
      </w:tr>
      <w:tr w:rsidR="008D4FCA" w:rsidRPr="003702F1" w:rsidTr="003C38C3">
        <w:trPr>
          <w:jc w:val="center"/>
        </w:trPr>
        <w:tc>
          <w:tcPr>
            <w:tcW w:w="3116" w:type="dxa"/>
            <w:vAlign w:val="center"/>
          </w:tcPr>
          <w:p w:rsidR="008D4FCA" w:rsidRPr="0053519B" w:rsidRDefault="008D4FCA" w:rsidP="008332AF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3519B">
              <w:rPr>
                <w:b/>
                <w:lang w:val="en-US"/>
              </w:rPr>
              <w:t>Эмитент-нерезидент</w:t>
            </w:r>
            <w:proofErr w:type="spellEnd"/>
            <w:r w:rsidRPr="0053519B">
              <w:rPr>
                <w:b/>
                <w:lang w:val="en-US"/>
              </w:rPr>
              <w:t xml:space="preserve"> </w:t>
            </w:r>
          </w:p>
        </w:tc>
        <w:tc>
          <w:tcPr>
            <w:tcW w:w="6346" w:type="dxa"/>
          </w:tcPr>
          <w:p w:rsidR="008D4FCA" w:rsidRPr="003C6754" w:rsidRDefault="008D4FCA" w:rsidP="008332AF">
            <w:pPr>
              <w:spacing w:before="120" w:after="120"/>
              <w:ind w:left="-94"/>
              <w:jc w:val="both"/>
            </w:pPr>
            <w:r w:rsidRPr="00503D2F">
              <w:rPr>
                <w:rStyle w:val="msoins0"/>
                <w:spacing w:val="-2"/>
              </w:rPr>
              <w:t>Юридическое лицо-нерезидент (за исключением кредитных организаций-нерезидентов, международных организаций, финансовых компаний-нерезидентов, суверенных заемщиков, страховых компаний), которое выпускает (эмитирует) ценные бумаги и несет от своего имени обязательства перед владельцами ценных бумаг по осуществлению прав, закрепленных этими ценными бумагами.</w:t>
            </w:r>
          </w:p>
        </w:tc>
      </w:tr>
      <w:tr w:rsidR="00DE6F47" w:rsidRPr="003702F1" w:rsidTr="003C38C3">
        <w:trPr>
          <w:jc w:val="center"/>
        </w:trPr>
        <w:tc>
          <w:tcPr>
            <w:tcW w:w="3116" w:type="dxa"/>
            <w:vAlign w:val="center"/>
          </w:tcPr>
          <w:p w:rsidR="00DE6F47" w:rsidRPr="0053519B" w:rsidRDefault="00DE6F47" w:rsidP="008332AF">
            <w:pPr>
              <w:spacing w:before="120" w:after="120"/>
              <w:rPr>
                <w:b/>
                <w:lang w:val="en-US"/>
              </w:rPr>
            </w:pPr>
            <w:r w:rsidRPr="0053519B">
              <w:rPr>
                <w:b/>
                <w:lang w:val="en-US"/>
              </w:rPr>
              <w:t>SPV</w:t>
            </w:r>
          </w:p>
        </w:tc>
        <w:tc>
          <w:tcPr>
            <w:tcW w:w="6346" w:type="dxa"/>
          </w:tcPr>
          <w:p w:rsidR="00DE6F47" w:rsidRPr="003702F1" w:rsidRDefault="000429A4" w:rsidP="008332AF">
            <w:pPr>
              <w:spacing w:before="120" w:after="120"/>
              <w:ind w:left="-94"/>
              <w:jc w:val="both"/>
              <w:rPr>
                <w:rStyle w:val="msoins0"/>
                <w:highlight w:val="yellow"/>
              </w:rPr>
            </w:pPr>
            <w:r w:rsidRPr="000429A4">
              <w:t>Компания специального назначения</w:t>
            </w:r>
            <w:r w:rsidR="00DE6F47" w:rsidRPr="003702F1">
              <w:t>, создаваемая материнской компанией для выполнения посреднических функций, в том числе для выпуска и обслуживания долговых ценных бумаг, обеспеченных кредитом и иными активами материнской компании</w:t>
            </w:r>
            <w:r w:rsidR="00DE6F47">
              <w:t>.</w:t>
            </w:r>
          </w:p>
        </w:tc>
      </w:tr>
    </w:tbl>
    <w:p w:rsidR="007D4E90" w:rsidRPr="006368C3" w:rsidRDefault="00273B91" w:rsidP="003C38C3">
      <w:pPr>
        <w:numPr>
          <w:ilvl w:val="1"/>
          <w:numId w:val="2"/>
        </w:numPr>
        <w:tabs>
          <w:tab w:val="num" w:pos="1134"/>
        </w:tabs>
        <w:spacing w:before="240" w:after="120"/>
        <w:ind w:left="0" w:firstLine="567"/>
        <w:jc w:val="both"/>
        <w:rPr>
          <w:rStyle w:val="msoins0"/>
          <w:spacing w:val="-2"/>
        </w:rPr>
      </w:pPr>
      <w:r w:rsidRPr="006368C3">
        <w:rPr>
          <w:rStyle w:val="msoins0"/>
          <w:spacing w:val="-2"/>
        </w:rPr>
        <w:t>Термины и определения, специально не определенные настоящ</w:t>
      </w:r>
      <w:r w:rsidR="006C101D" w:rsidRPr="006368C3">
        <w:rPr>
          <w:rStyle w:val="msoins0"/>
          <w:spacing w:val="-2"/>
        </w:rPr>
        <w:t xml:space="preserve">ими </w:t>
      </w:r>
      <w:r w:rsidRPr="006368C3">
        <w:rPr>
          <w:rStyle w:val="msoins0"/>
          <w:spacing w:val="-2"/>
        </w:rPr>
        <w:t>Методи</w:t>
      </w:r>
      <w:r w:rsidR="006C101D" w:rsidRPr="006368C3">
        <w:rPr>
          <w:rStyle w:val="msoins0"/>
          <w:spacing w:val="-2"/>
        </w:rPr>
        <w:t>ческими рекомендациями</w:t>
      </w:r>
      <w:r w:rsidRPr="006368C3">
        <w:rPr>
          <w:rStyle w:val="msoins0"/>
          <w:spacing w:val="-2"/>
        </w:rPr>
        <w:t>, используются в значениях, установленн</w:t>
      </w:r>
      <w:r w:rsidR="009431B2" w:rsidRPr="006368C3">
        <w:rPr>
          <w:rStyle w:val="msoins0"/>
          <w:spacing w:val="-2"/>
        </w:rPr>
        <w:t>ых законами РФ</w:t>
      </w:r>
      <w:r w:rsidRPr="006368C3">
        <w:rPr>
          <w:rStyle w:val="msoins0"/>
          <w:spacing w:val="-2"/>
        </w:rPr>
        <w:t>, иными нормативными право</w:t>
      </w:r>
      <w:r w:rsidR="009431B2" w:rsidRPr="006368C3">
        <w:rPr>
          <w:rStyle w:val="msoins0"/>
          <w:spacing w:val="-2"/>
        </w:rPr>
        <w:t>выми актами РФ</w:t>
      </w:r>
      <w:r w:rsidRPr="006368C3">
        <w:rPr>
          <w:rStyle w:val="msoins0"/>
          <w:spacing w:val="-2"/>
        </w:rPr>
        <w:t xml:space="preserve">, в том числе нормативными актами Банка России, федерального органа исполнительной власти по рынку ценных бумаг, а также внутренними документами </w:t>
      </w:r>
      <w:r w:rsidR="004C43C8" w:rsidRPr="006368C3">
        <w:rPr>
          <w:rStyle w:val="msoins0"/>
          <w:spacing w:val="-2"/>
        </w:rPr>
        <w:t xml:space="preserve">Банка НКЦ (АО) </w:t>
      </w:r>
      <w:r w:rsidR="006C101D" w:rsidRPr="006368C3">
        <w:rPr>
          <w:rStyle w:val="msoins0"/>
          <w:spacing w:val="-2"/>
        </w:rPr>
        <w:t xml:space="preserve">и </w:t>
      </w:r>
      <w:r w:rsidR="005D2069" w:rsidRPr="006368C3">
        <w:rPr>
          <w:rStyle w:val="msoins0"/>
          <w:spacing w:val="-2"/>
        </w:rPr>
        <w:t xml:space="preserve">иных Компаний </w:t>
      </w:r>
      <w:r w:rsidR="004C43C8" w:rsidRPr="006368C3">
        <w:rPr>
          <w:rStyle w:val="msoins0"/>
          <w:spacing w:val="-2"/>
        </w:rPr>
        <w:t>Группы «Московская Биржа».</w:t>
      </w:r>
    </w:p>
    <w:p w:rsidR="00CD0BFA" w:rsidRPr="006307E9" w:rsidRDefault="00E70166" w:rsidP="003C38C3">
      <w:pPr>
        <w:numPr>
          <w:ilvl w:val="0"/>
          <w:numId w:val="2"/>
        </w:numPr>
        <w:tabs>
          <w:tab w:val="clear" w:pos="170"/>
          <w:tab w:val="num" w:pos="0"/>
        </w:tabs>
        <w:spacing w:before="360" w:after="120"/>
        <w:ind w:left="0" w:firstLine="0"/>
        <w:jc w:val="center"/>
        <w:rPr>
          <w:rStyle w:val="msoins0"/>
          <w:b/>
        </w:rPr>
      </w:pPr>
      <w:bookmarkStart w:id="9" w:name="_Ref300932391"/>
      <w:r w:rsidRPr="006307E9">
        <w:rPr>
          <w:rStyle w:val="msoins0"/>
          <w:b/>
        </w:rPr>
        <w:t xml:space="preserve">Общие подходы к </w:t>
      </w:r>
      <w:r w:rsidR="00CD0BFA" w:rsidRPr="006307E9">
        <w:rPr>
          <w:rStyle w:val="msoins0"/>
          <w:b/>
        </w:rPr>
        <w:t xml:space="preserve">проведению индивидуальной оценки </w:t>
      </w:r>
      <w:r w:rsidR="009D7F37" w:rsidRPr="006307E9">
        <w:rPr>
          <w:rStyle w:val="msoins0"/>
          <w:b/>
        </w:rPr>
        <w:t>кредитного риска</w:t>
      </w:r>
      <w:bookmarkEnd w:id="9"/>
      <w:r w:rsidR="009446AD" w:rsidRPr="006307E9">
        <w:rPr>
          <w:rStyle w:val="msoins0"/>
          <w:b/>
        </w:rPr>
        <w:t xml:space="preserve"> </w:t>
      </w:r>
      <w:r w:rsidR="002D1BA4">
        <w:rPr>
          <w:rStyle w:val="msoins0"/>
          <w:b/>
        </w:rPr>
        <w:t>контрагентов</w:t>
      </w:r>
    </w:p>
    <w:p w:rsidR="008E7070" w:rsidRPr="00E805F4" w:rsidRDefault="003D1BBE" w:rsidP="00756250">
      <w:pPr>
        <w:numPr>
          <w:ilvl w:val="1"/>
          <w:numId w:val="2"/>
        </w:numPr>
        <w:tabs>
          <w:tab w:val="num" w:pos="1134"/>
        </w:tabs>
        <w:spacing w:before="240" w:after="120"/>
        <w:ind w:left="0" w:firstLine="567"/>
        <w:jc w:val="both"/>
        <w:rPr>
          <w:rStyle w:val="msoins0"/>
        </w:rPr>
      </w:pPr>
      <w:r w:rsidRPr="00E805F4">
        <w:rPr>
          <w:rStyle w:val="msoins0"/>
        </w:rPr>
        <w:t xml:space="preserve"> </w:t>
      </w:r>
      <w:r w:rsidR="00CA3F0C" w:rsidRPr="00E805F4">
        <w:rPr>
          <w:rStyle w:val="msoins0"/>
        </w:rPr>
        <w:t xml:space="preserve">Индивидуальная оценка </w:t>
      </w:r>
      <w:r w:rsidR="00337EA0">
        <w:rPr>
          <w:rStyle w:val="msoins0"/>
        </w:rPr>
        <w:t xml:space="preserve">кредитного риска </w:t>
      </w:r>
      <w:r w:rsidR="00C24181">
        <w:rPr>
          <w:rStyle w:val="msoins0"/>
        </w:rPr>
        <w:t>контрагентов</w:t>
      </w:r>
      <w:r w:rsidR="006671BD" w:rsidRPr="00E805F4">
        <w:rPr>
          <w:rStyle w:val="msoins0"/>
        </w:rPr>
        <w:t xml:space="preserve"> </w:t>
      </w:r>
      <w:r w:rsidR="004F23DB" w:rsidRPr="00E805F4">
        <w:rPr>
          <w:rStyle w:val="msoins0"/>
        </w:rPr>
        <w:t>основывается на результатах</w:t>
      </w:r>
      <w:r w:rsidR="004F23DB" w:rsidRPr="00793BE8">
        <w:rPr>
          <w:rStyle w:val="msoins0"/>
        </w:rPr>
        <w:t xml:space="preserve"> анализа финансового положения </w:t>
      </w:r>
      <w:r w:rsidR="00D61555">
        <w:rPr>
          <w:rStyle w:val="msoins0"/>
        </w:rPr>
        <w:t xml:space="preserve">с учетом совокупности факторов, </w:t>
      </w:r>
      <w:r w:rsidR="008C050F">
        <w:rPr>
          <w:rStyle w:val="msoins0"/>
        </w:rPr>
        <w:t>характеризующих</w:t>
      </w:r>
      <w:r w:rsidR="00A707A0">
        <w:rPr>
          <w:rStyle w:val="msoins0"/>
        </w:rPr>
        <w:t xml:space="preserve"> деятельность</w:t>
      </w:r>
      <w:r w:rsidR="00D61555" w:rsidRPr="00D61555">
        <w:rPr>
          <w:rStyle w:val="msoins0"/>
        </w:rPr>
        <w:t xml:space="preserve"> </w:t>
      </w:r>
      <w:r w:rsidR="00C24181">
        <w:rPr>
          <w:rStyle w:val="msoins0"/>
        </w:rPr>
        <w:t>контрагентов</w:t>
      </w:r>
      <w:r w:rsidR="00D61555">
        <w:rPr>
          <w:rStyle w:val="msoins0"/>
        </w:rPr>
        <w:t xml:space="preserve">, которые оказывают/ могут оказать </w:t>
      </w:r>
      <w:r w:rsidR="00416103">
        <w:rPr>
          <w:rStyle w:val="msoins0"/>
        </w:rPr>
        <w:t xml:space="preserve">влияние </w:t>
      </w:r>
      <w:r w:rsidR="00D61555">
        <w:rPr>
          <w:rStyle w:val="msoins0"/>
        </w:rPr>
        <w:t xml:space="preserve">на его финансовое положение.  </w:t>
      </w:r>
    </w:p>
    <w:p w:rsidR="000B61B7" w:rsidRPr="00E805F4" w:rsidRDefault="00E050BD" w:rsidP="00793BE8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  <w:rPr>
          <w:rStyle w:val="msoins0"/>
        </w:rPr>
      </w:pPr>
      <w:bookmarkStart w:id="10" w:name="_Ref300931447"/>
      <w:r w:rsidRPr="00E805F4">
        <w:rPr>
          <w:rStyle w:val="msoins0"/>
        </w:rPr>
        <w:t xml:space="preserve">Общий анализ </w:t>
      </w:r>
      <w:r w:rsidR="004F23DB" w:rsidRPr="00E805F4">
        <w:t xml:space="preserve">деятельности </w:t>
      </w:r>
      <w:r w:rsidR="00C24181">
        <w:t>контрагентов</w:t>
      </w:r>
      <w:r w:rsidR="00D6381F" w:rsidRPr="00341A9F">
        <w:rPr>
          <w:rStyle w:val="msoins0"/>
        </w:rPr>
        <w:t xml:space="preserve"> (за исключением </w:t>
      </w:r>
      <w:r w:rsidR="000E23D7">
        <w:rPr>
          <w:rStyle w:val="msoins0"/>
        </w:rPr>
        <w:t>администраций и суверенных заемщиков</w:t>
      </w:r>
      <w:r w:rsidR="00D31DA0">
        <w:rPr>
          <w:rStyle w:val="msoins0"/>
        </w:rPr>
        <w:t xml:space="preserve">, принципы анализа которых приведены в </w:t>
      </w:r>
      <w:proofErr w:type="spellStart"/>
      <w:r w:rsidR="00D31DA0">
        <w:rPr>
          <w:rStyle w:val="msoins0"/>
        </w:rPr>
        <w:t>п.п</w:t>
      </w:r>
      <w:proofErr w:type="spellEnd"/>
      <w:r w:rsidR="00D31DA0">
        <w:rPr>
          <w:rStyle w:val="msoins0"/>
        </w:rPr>
        <w:t>. 5.5</w:t>
      </w:r>
      <w:r w:rsidR="00D6381F" w:rsidRPr="00341A9F">
        <w:rPr>
          <w:rStyle w:val="msoins0"/>
        </w:rPr>
        <w:t>)</w:t>
      </w:r>
      <w:r w:rsidRPr="00341A9F">
        <w:rPr>
          <w:rStyle w:val="msoins0"/>
        </w:rPr>
        <w:t xml:space="preserve">, </w:t>
      </w:r>
      <w:r w:rsidR="00A3530C" w:rsidRPr="005C2344">
        <w:rPr>
          <w:rStyle w:val="msoins0"/>
        </w:rPr>
        <w:t>как правило</w:t>
      </w:r>
      <w:r w:rsidR="00A3530C" w:rsidRPr="00E805F4">
        <w:rPr>
          <w:rStyle w:val="msoins0"/>
        </w:rPr>
        <w:t xml:space="preserve">, </w:t>
      </w:r>
      <w:r w:rsidR="003418CA" w:rsidRPr="00E805F4">
        <w:rPr>
          <w:rStyle w:val="msoins0"/>
        </w:rPr>
        <w:t>включает</w:t>
      </w:r>
      <w:r w:rsidR="000B61B7" w:rsidRPr="00E805F4">
        <w:rPr>
          <w:rStyle w:val="msoins0"/>
        </w:rPr>
        <w:t>:</w:t>
      </w:r>
      <w:bookmarkEnd w:id="10"/>
    </w:p>
    <w:p w:rsidR="000B61B7" w:rsidRDefault="000B61B7" w:rsidP="003C3609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E805F4">
        <w:rPr>
          <w:rStyle w:val="msoins0"/>
        </w:rPr>
        <w:t>характеристику бизнеса</w:t>
      </w:r>
      <w:r w:rsidR="001E192D" w:rsidRPr="00E805F4">
        <w:rPr>
          <w:rStyle w:val="msoins0"/>
        </w:rPr>
        <w:t>;</w:t>
      </w:r>
    </w:p>
    <w:p w:rsidR="008518FB" w:rsidRPr="00E805F4" w:rsidRDefault="008518FB" w:rsidP="003C3609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E805F4">
        <w:rPr>
          <w:rStyle w:val="msoins0"/>
        </w:rPr>
        <w:lastRenderedPageBreak/>
        <w:t>структур</w:t>
      </w:r>
      <w:r w:rsidR="005C2344">
        <w:rPr>
          <w:rStyle w:val="msoins0"/>
        </w:rPr>
        <w:t>у</w:t>
      </w:r>
      <w:r w:rsidRPr="00E805F4">
        <w:rPr>
          <w:rStyle w:val="msoins0"/>
        </w:rPr>
        <w:t xml:space="preserve"> собственности, вероятность поддержки акционеров /участников; </w:t>
      </w:r>
    </w:p>
    <w:p w:rsidR="008518FB" w:rsidRDefault="008518FB" w:rsidP="003C3609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E805F4">
        <w:rPr>
          <w:rStyle w:val="msoins0"/>
        </w:rPr>
        <w:t>динамик</w:t>
      </w:r>
      <w:r w:rsidR="005C2344">
        <w:rPr>
          <w:rStyle w:val="msoins0"/>
        </w:rPr>
        <w:t>у</w:t>
      </w:r>
      <w:r w:rsidRPr="00E805F4">
        <w:rPr>
          <w:rStyle w:val="msoins0"/>
        </w:rPr>
        <w:t xml:space="preserve"> стоимости </w:t>
      </w:r>
      <w:r w:rsidR="009D0141">
        <w:rPr>
          <w:rStyle w:val="msoins0"/>
        </w:rPr>
        <w:t>выпущенных ценных бумаг</w:t>
      </w:r>
      <w:r w:rsidR="009D0141" w:rsidRPr="00E805F4">
        <w:rPr>
          <w:rStyle w:val="msoins0"/>
        </w:rPr>
        <w:t xml:space="preserve"> </w:t>
      </w:r>
      <w:r w:rsidRPr="00E805F4">
        <w:rPr>
          <w:rStyle w:val="msoins0"/>
        </w:rPr>
        <w:t xml:space="preserve">в случае их обращения на организованном рынке; </w:t>
      </w:r>
    </w:p>
    <w:p w:rsidR="000B61B7" w:rsidRPr="00E805F4" w:rsidRDefault="006226E8" w:rsidP="003C3609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E805F4">
        <w:rPr>
          <w:rStyle w:val="msoins0"/>
        </w:rPr>
        <w:t>и</w:t>
      </w:r>
      <w:r w:rsidR="000B61B7" w:rsidRPr="00E805F4">
        <w:rPr>
          <w:rStyle w:val="msoins0"/>
        </w:rPr>
        <w:t>нформацию</w:t>
      </w:r>
      <w:r w:rsidRPr="00E805F4">
        <w:rPr>
          <w:rStyle w:val="msoins0"/>
        </w:rPr>
        <w:t xml:space="preserve"> о </w:t>
      </w:r>
      <w:r w:rsidR="003418CA" w:rsidRPr="00E805F4">
        <w:rPr>
          <w:rStyle w:val="msoins0"/>
        </w:rPr>
        <w:t xml:space="preserve">присвоенных </w:t>
      </w:r>
      <w:r w:rsidR="007562FE">
        <w:rPr>
          <w:rStyle w:val="msoins0"/>
        </w:rPr>
        <w:t>внешних</w:t>
      </w:r>
      <w:r w:rsidR="001E192D" w:rsidRPr="00E805F4">
        <w:rPr>
          <w:rStyle w:val="msoins0"/>
        </w:rPr>
        <w:t xml:space="preserve"> и внутренних </w:t>
      </w:r>
      <w:r w:rsidRPr="00E805F4">
        <w:rPr>
          <w:rStyle w:val="msoins0"/>
        </w:rPr>
        <w:t>рейтингах;</w:t>
      </w:r>
    </w:p>
    <w:p w:rsidR="006226E8" w:rsidRPr="00E805F4" w:rsidRDefault="006226E8" w:rsidP="003C3609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E805F4">
        <w:rPr>
          <w:rStyle w:val="msoins0"/>
        </w:rPr>
        <w:t>информацию о сотрудничестве</w:t>
      </w:r>
      <w:r w:rsidR="00622372" w:rsidRPr="00622372">
        <w:rPr>
          <w:rStyle w:val="msoins0"/>
        </w:rPr>
        <w:t xml:space="preserve"> </w:t>
      </w:r>
      <w:r w:rsidR="00622372">
        <w:rPr>
          <w:rStyle w:val="msoins0"/>
        </w:rPr>
        <w:t>контрагентов</w:t>
      </w:r>
      <w:r w:rsidRPr="00E805F4">
        <w:rPr>
          <w:rStyle w:val="msoins0"/>
        </w:rPr>
        <w:t xml:space="preserve"> с Группой </w:t>
      </w:r>
      <w:r w:rsidR="00361B39">
        <w:rPr>
          <w:rStyle w:val="msoins0"/>
        </w:rPr>
        <w:t>«Московская Биржа»</w:t>
      </w:r>
      <w:r w:rsidRPr="00E805F4">
        <w:rPr>
          <w:rStyle w:val="msoins0"/>
        </w:rPr>
        <w:t>.</w:t>
      </w:r>
    </w:p>
    <w:p w:rsidR="00AD79AF" w:rsidRPr="00A27DB1" w:rsidRDefault="00AD79AF" w:rsidP="003C38C3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</w:pPr>
      <w:r w:rsidRPr="003C38C3">
        <w:rPr>
          <w:rStyle w:val="msoins0"/>
        </w:rPr>
        <w:t>Внешние</w:t>
      </w:r>
      <w:r w:rsidRPr="00E805F4">
        <w:t xml:space="preserve"> рейтинг</w:t>
      </w:r>
      <w:r w:rsidR="007706D6">
        <w:t xml:space="preserve">и </w:t>
      </w:r>
      <w:r w:rsidR="00C24181">
        <w:t>контрагентов</w:t>
      </w:r>
      <w:r w:rsidR="00D31DA0">
        <w:t xml:space="preserve"> </w:t>
      </w:r>
      <w:r w:rsidR="00D31DA0">
        <w:rPr>
          <w:rStyle w:val="msoins0"/>
        </w:rPr>
        <w:t xml:space="preserve">оцениваются по принципам, </w:t>
      </w:r>
      <w:r w:rsidR="00185E6C" w:rsidRPr="00A27DB1">
        <w:rPr>
          <w:rStyle w:val="msoins0"/>
        </w:rPr>
        <w:t>предусмотренны</w:t>
      </w:r>
      <w:r w:rsidR="00AB0976">
        <w:rPr>
          <w:rStyle w:val="msoins0"/>
        </w:rPr>
        <w:t>м</w:t>
      </w:r>
      <w:r w:rsidR="00185E6C" w:rsidRPr="00A27DB1">
        <w:rPr>
          <w:rStyle w:val="msoins0"/>
        </w:rPr>
        <w:t xml:space="preserve"> </w:t>
      </w:r>
      <w:r w:rsidR="00D31DA0">
        <w:rPr>
          <w:rStyle w:val="msoins0"/>
        </w:rPr>
        <w:t>Методикой определения внутренних рейтингов контрагентов</w:t>
      </w:r>
      <w:r w:rsidR="00A61020" w:rsidRPr="00A61020">
        <w:rPr>
          <w:rStyle w:val="msoins0"/>
        </w:rPr>
        <w:t xml:space="preserve"> Банка НКЦ (АО)</w:t>
      </w:r>
      <w:r w:rsidR="00DE3ACC" w:rsidRPr="00A27DB1">
        <w:t xml:space="preserve">. </w:t>
      </w:r>
    </w:p>
    <w:p w:rsidR="00AD79AF" w:rsidRPr="00A27DB1" w:rsidRDefault="00337EA0" w:rsidP="00C4022A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  <w:rPr>
          <w:rStyle w:val="msoins0"/>
        </w:rPr>
      </w:pPr>
      <w:r>
        <w:rPr>
          <w:rStyle w:val="msoins0"/>
        </w:rPr>
        <w:t xml:space="preserve">Внутренний рейтинг </w:t>
      </w:r>
      <w:r w:rsidR="00C24181">
        <w:rPr>
          <w:rStyle w:val="msoins0"/>
        </w:rPr>
        <w:t>контрагентов</w:t>
      </w:r>
      <w:r w:rsidR="003418CA" w:rsidRPr="00A27DB1">
        <w:rPr>
          <w:rStyle w:val="msoins0"/>
        </w:rPr>
        <w:t xml:space="preserve">, если </w:t>
      </w:r>
      <w:r w:rsidR="00142062" w:rsidRPr="00A27DB1">
        <w:rPr>
          <w:rStyle w:val="msoins0"/>
        </w:rPr>
        <w:t xml:space="preserve">его </w:t>
      </w:r>
      <w:r w:rsidR="003418CA" w:rsidRPr="00A27DB1">
        <w:rPr>
          <w:rStyle w:val="msoins0"/>
        </w:rPr>
        <w:t xml:space="preserve">определение предусмотрено </w:t>
      </w:r>
      <w:r w:rsidR="006D10E8" w:rsidRPr="00A27DB1">
        <w:rPr>
          <w:rStyle w:val="msoins0"/>
        </w:rPr>
        <w:t xml:space="preserve">внутренними документами </w:t>
      </w:r>
      <w:r w:rsidR="00603D9E">
        <w:rPr>
          <w:rStyle w:val="msoins0"/>
        </w:rPr>
        <w:t>Банка НКЦ (АО)</w:t>
      </w:r>
      <w:r w:rsidR="006D10E8" w:rsidRPr="00A27DB1">
        <w:rPr>
          <w:rStyle w:val="msoins0"/>
        </w:rPr>
        <w:t xml:space="preserve">, </w:t>
      </w:r>
      <w:r w:rsidR="003418CA" w:rsidRPr="00A27DB1">
        <w:rPr>
          <w:rStyle w:val="msoins0"/>
        </w:rPr>
        <w:t>дополняет индивидуальную оценку</w:t>
      </w:r>
      <w:r w:rsidR="00185E6C">
        <w:rPr>
          <w:rStyle w:val="msoins0"/>
        </w:rPr>
        <w:t xml:space="preserve"> </w:t>
      </w:r>
      <w:r w:rsidR="003418CA" w:rsidRPr="00A27DB1">
        <w:rPr>
          <w:rStyle w:val="msoins0"/>
        </w:rPr>
        <w:t>кредитного риска.</w:t>
      </w:r>
    </w:p>
    <w:p w:rsidR="00A7142B" w:rsidRPr="00E805F4" w:rsidRDefault="00142062" w:rsidP="00C4022A">
      <w:pPr>
        <w:numPr>
          <w:ilvl w:val="1"/>
          <w:numId w:val="2"/>
        </w:numPr>
        <w:tabs>
          <w:tab w:val="num" w:pos="1134"/>
        </w:tabs>
        <w:spacing w:before="120" w:after="120"/>
        <w:ind w:left="0" w:firstLine="567"/>
        <w:jc w:val="both"/>
        <w:rPr>
          <w:rStyle w:val="msoins0"/>
        </w:rPr>
      </w:pPr>
      <w:r w:rsidRPr="00E805F4">
        <w:rPr>
          <w:rStyle w:val="msoins0"/>
        </w:rPr>
        <w:t xml:space="preserve">Показатели </w:t>
      </w:r>
      <w:r w:rsidR="004E45A1" w:rsidRPr="00E805F4">
        <w:rPr>
          <w:rStyle w:val="msoins0"/>
        </w:rPr>
        <w:t xml:space="preserve">деятельности </w:t>
      </w:r>
      <w:r w:rsidR="00C24181">
        <w:rPr>
          <w:rStyle w:val="msoins0"/>
        </w:rPr>
        <w:t>контрагентов</w:t>
      </w:r>
      <w:r w:rsidR="00DE3ACC" w:rsidRPr="00E805F4">
        <w:rPr>
          <w:rStyle w:val="msoins0"/>
        </w:rPr>
        <w:t xml:space="preserve"> </w:t>
      </w:r>
      <w:r w:rsidRPr="00E805F4">
        <w:rPr>
          <w:rStyle w:val="msoins0"/>
        </w:rPr>
        <w:t xml:space="preserve">рассматриваются </w:t>
      </w:r>
      <w:r w:rsidR="00A7142B" w:rsidRPr="00E805F4">
        <w:rPr>
          <w:rStyle w:val="msoins0"/>
        </w:rPr>
        <w:t>в динамике</w:t>
      </w:r>
      <w:r w:rsidR="0033393F">
        <w:rPr>
          <w:rStyle w:val="msoins0"/>
        </w:rPr>
        <w:t xml:space="preserve"> за период, </w:t>
      </w:r>
      <w:r w:rsidR="0033393F" w:rsidRPr="00E805F4">
        <w:rPr>
          <w:rStyle w:val="msoins0"/>
        </w:rPr>
        <w:t xml:space="preserve">определяемый </w:t>
      </w:r>
      <w:proofErr w:type="spellStart"/>
      <w:r w:rsidR="0033393F">
        <w:rPr>
          <w:rStyle w:val="msoins0"/>
        </w:rPr>
        <w:t>экспертн</w:t>
      </w:r>
      <w:r w:rsidR="00C37A2F">
        <w:rPr>
          <w:rStyle w:val="msoins0"/>
        </w:rPr>
        <w:t>о</w:t>
      </w:r>
      <w:proofErr w:type="spellEnd"/>
      <w:r w:rsidR="00C37A2F">
        <w:rPr>
          <w:rStyle w:val="msoins0"/>
        </w:rPr>
        <w:t>,</w:t>
      </w:r>
      <w:r w:rsidR="0033393F">
        <w:rPr>
          <w:rStyle w:val="msoins0"/>
        </w:rPr>
        <w:t xml:space="preserve"> исходя из целей проведения оценки кредитного риска и имеющейся информации</w:t>
      </w:r>
      <w:r w:rsidR="00C37A2F">
        <w:rPr>
          <w:rStyle w:val="msoins0"/>
        </w:rPr>
        <w:t xml:space="preserve"> для проведения анализа. </w:t>
      </w:r>
    </w:p>
    <w:p w:rsidR="007A60B9" w:rsidRPr="00E805F4" w:rsidRDefault="00142062" w:rsidP="00C4022A">
      <w:pPr>
        <w:numPr>
          <w:ilvl w:val="1"/>
          <w:numId w:val="2"/>
        </w:numPr>
        <w:tabs>
          <w:tab w:val="num" w:pos="900"/>
          <w:tab w:val="left" w:pos="1134"/>
        </w:tabs>
        <w:spacing w:before="120" w:after="120"/>
        <w:ind w:left="0" w:firstLine="567"/>
        <w:jc w:val="both"/>
        <w:rPr>
          <w:rStyle w:val="msoins0"/>
        </w:rPr>
      </w:pPr>
      <w:r w:rsidRPr="00E805F4">
        <w:rPr>
          <w:rStyle w:val="msoins0"/>
        </w:rPr>
        <w:t>Оценка сотрудничества</w:t>
      </w:r>
      <w:r w:rsidR="00337EA0">
        <w:rPr>
          <w:rStyle w:val="msoins0"/>
        </w:rPr>
        <w:t xml:space="preserve"> </w:t>
      </w:r>
      <w:r w:rsidR="00C24181">
        <w:rPr>
          <w:rStyle w:val="msoins0"/>
        </w:rPr>
        <w:t>контрагентов</w:t>
      </w:r>
      <w:r w:rsidR="007A60B9" w:rsidRPr="00E805F4">
        <w:rPr>
          <w:rStyle w:val="msoins0"/>
        </w:rPr>
        <w:t xml:space="preserve"> с Группой </w:t>
      </w:r>
      <w:r w:rsidR="00D2104B">
        <w:rPr>
          <w:rStyle w:val="msoins0"/>
        </w:rPr>
        <w:t>«Московская Биржа»</w:t>
      </w:r>
      <w:r w:rsidR="00495397">
        <w:rPr>
          <w:rStyle w:val="msoins0"/>
        </w:rPr>
        <w:t xml:space="preserve"> предусматривает</w:t>
      </w:r>
      <w:r w:rsidR="007A60B9" w:rsidRPr="00E805F4">
        <w:rPr>
          <w:rStyle w:val="msoins0"/>
        </w:rPr>
        <w:t xml:space="preserve"> определение длительности</w:t>
      </w:r>
      <w:r w:rsidR="00337EA0">
        <w:rPr>
          <w:rStyle w:val="msoins0"/>
        </w:rPr>
        <w:t xml:space="preserve"> присутствия</w:t>
      </w:r>
      <w:r w:rsidR="007A60B9" w:rsidRPr="00E805F4">
        <w:rPr>
          <w:rStyle w:val="msoins0"/>
        </w:rPr>
        <w:t xml:space="preserve"> на ры</w:t>
      </w:r>
      <w:r w:rsidR="00337EA0">
        <w:rPr>
          <w:rStyle w:val="msoins0"/>
        </w:rPr>
        <w:t xml:space="preserve">нках Группы в качестве участников торгов </w:t>
      </w:r>
      <w:r w:rsidR="007A60B9" w:rsidRPr="00E805F4">
        <w:rPr>
          <w:rStyle w:val="msoins0"/>
        </w:rPr>
        <w:t xml:space="preserve">на любом из биржевых рынков, оценку активности проведения операций, </w:t>
      </w:r>
      <w:r w:rsidR="007A728E" w:rsidRPr="00E805F4">
        <w:rPr>
          <w:rStyle w:val="msoins0"/>
        </w:rPr>
        <w:t xml:space="preserve">а также отсутствия/наличия фактов неисполнения обязательств по сделкам на биржевых рынках Группы </w:t>
      </w:r>
      <w:r w:rsidR="00D2104B">
        <w:rPr>
          <w:rStyle w:val="msoins0"/>
        </w:rPr>
        <w:t>«Московская Биржа»</w:t>
      </w:r>
      <w:r w:rsidR="007A728E" w:rsidRPr="00E805F4">
        <w:rPr>
          <w:rStyle w:val="msoins0"/>
        </w:rPr>
        <w:t>.</w:t>
      </w:r>
    </w:p>
    <w:p w:rsidR="00FB449C" w:rsidRPr="00BA6116" w:rsidRDefault="00BA6116" w:rsidP="00C4022A">
      <w:pPr>
        <w:numPr>
          <w:ilvl w:val="1"/>
          <w:numId w:val="2"/>
        </w:numPr>
        <w:tabs>
          <w:tab w:val="num" w:pos="900"/>
          <w:tab w:val="left" w:pos="1134"/>
        </w:tabs>
        <w:spacing w:before="120" w:after="120"/>
        <w:ind w:left="0" w:firstLine="567"/>
        <w:jc w:val="both"/>
        <w:rPr>
          <w:rStyle w:val="msoins0"/>
        </w:rPr>
      </w:pPr>
      <w:r w:rsidRPr="00BA6116">
        <w:rPr>
          <w:rStyle w:val="msoins0"/>
        </w:rPr>
        <w:t xml:space="preserve">В </w:t>
      </w:r>
      <w:r>
        <w:rPr>
          <w:rStyle w:val="msoins0"/>
        </w:rPr>
        <w:t>ц</w:t>
      </w:r>
      <w:r w:rsidRPr="00BA6116">
        <w:rPr>
          <w:rStyle w:val="msoins0"/>
        </w:rPr>
        <w:t>елях</w:t>
      </w:r>
      <w:r w:rsidR="00756849" w:rsidRPr="00BA6116">
        <w:rPr>
          <w:rStyle w:val="msoins0"/>
        </w:rPr>
        <w:t xml:space="preserve"> ин</w:t>
      </w:r>
      <w:r w:rsidR="00474AAF" w:rsidRPr="00BA6116">
        <w:rPr>
          <w:rStyle w:val="msoins0"/>
        </w:rPr>
        <w:t xml:space="preserve">дивидуальной оценки </w:t>
      </w:r>
      <w:r w:rsidR="00C24181">
        <w:rPr>
          <w:rStyle w:val="msoins0"/>
        </w:rPr>
        <w:t>контрагентов</w:t>
      </w:r>
      <w:r w:rsidR="00756849" w:rsidRPr="00BA6116">
        <w:rPr>
          <w:rStyle w:val="msoins0"/>
        </w:rPr>
        <w:t xml:space="preserve"> </w:t>
      </w:r>
      <w:r w:rsidR="00AC471C" w:rsidRPr="00BA6116">
        <w:rPr>
          <w:rStyle w:val="msoins0"/>
        </w:rPr>
        <w:t xml:space="preserve">могут быть использованы следующие источники </w:t>
      </w:r>
      <w:r w:rsidR="00C2520A" w:rsidRPr="00BA6116">
        <w:rPr>
          <w:rStyle w:val="msoins0"/>
        </w:rPr>
        <w:t>информации</w:t>
      </w:r>
      <w:r w:rsidR="00FB449C" w:rsidRPr="00BA6116">
        <w:rPr>
          <w:rStyle w:val="msoins0"/>
        </w:rPr>
        <w:t>:</w:t>
      </w:r>
    </w:p>
    <w:p w:rsidR="009C3E95" w:rsidRPr="00C41705" w:rsidRDefault="001321F8" w:rsidP="003C38C3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ф</w:t>
      </w:r>
      <w:r w:rsidR="009C3E95" w:rsidRPr="00933AC5">
        <w:rPr>
          <w:rStyle w:val="msoins0"/>
        </w:rPr>
        <w:t>инансовая</w:t>
      </w:r>
      <w:r w:rsidR="009C3E95" w:rsidRPr="00C41705">
        <w:rPr>
          <w:rStyle w:val="msoins0"/>
        </w:rPr>
        <w:t xml:space="preserve"> отчетность, предоставляемая </w:t>
      </w:r>
      <w:r w:rsidR="009C3E95">
        <w:rPr>
          <w:rStyle w:val="msoins0"/>
        </w:rPr>
        <w:t>контраген</w:t>
      </w:r>
      <w:r w:rsidR="009C3E95" w:rsidRPr="00C41705">
        <w:rPr>
          <w:rStyle w:val="msoins0"/>
        </w:rPr>
        <w:t>том</w:t>
      </w:r>
      <w:r w:rsidR="009C3E95">
        <w:rPr>
          <w:rStyle w:val="msoins0"/>
        </w:rPr>
        <w:t xml:space="preserve"> </w:t>
      </w:r>
      <w:r w:rsidR="009C3E95" w:rsidRPr="00C41705">
        <w:rPr>
          <w:rStyle w:val="msoins0"/>
        </w:rPr>
        <w:t>в соответствии с</w:t>
      </w:r>
      <w:r w:rsidR="009C3E95">
        <w:rPr>
          <w:rStyle w:val="msoins0"/>
        </w:rPr>
        <w:t xml:space="preserve"> в</w:t>
      </w:r>
      <w:r w:rsidR="009C3E95" w:rsidRPr="00C41705">
        <w:rPr>
          <w:rStyle w:val="msoins0"/>
        </w:rPr>
        <w:t>нутренними документами Группы «Московская Биржа»;</w:t>
      </w:r>
    </w:p>
    <w:p w:rsidR="009C3E95" w:rsidRPr="00C41705" w:rsidRDefault="001321F8" w:rsidP="003C38C3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и</w:t>
      </w:r>
      <w:r w:rsidR="009C3E95" w:rsidRPr="00C41705">
        <w:rPr>
          <w:rStyle w:val="msoins0"/>
        </w:rPr>
        <w:t>нформация</w:t>
      </w:r>
      <w:r w:rsidR="009C3E95">
        <w:rPr>
          <w:rStyle w:val="msoins0"/>
        </w:rPr>
        <w:t>, раскрываемая на</w:t>
      </w:r>
      <w:r w:rsidR="009C3E95" w:rsidRPr="00C41705">
        <w:rPr>
          <w:rStyle w:val="msoins0"/>
        </w:rPr>
        <w:t xml:space="preserve"> официальных сайт</w:t>
      </w:r>
      <w:r w:rsidR="009C3E95">
        <w:rPr>
          <w:rStyle w:val="msoins0"/>
        </w:rPr>
        <w:t>ах</w:t>
      </w:r>
      <w:r w:rsidR="009C3E95" w:rsidRPr="00C41705">
        <w:rPr>
          <w:rStyle w:val="msoins0"/>
        </w:rPr>
        <w:t xml:space="preserve"> рейтинговых агентств в сети Интернет;</w:t>
      </w:r>
    </w:p>
    <w:p w:rsidR="009C3E95" w:rsidRDefault="001321F8" w:rsidP="003C38C3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и</w:t>
      </w:r>
      <w:r w:rsidR="009C3E95" w:rsidRPr="00C41705">
        <w:rPr>
          <w:rStyle w:val="msoins0"/>
        </w:rPr>
        <w:t>нформация</w:t>
      </w:r>
      <w:r w:rsidR="009C3E95">
        <w:rPr>
          <w:rStyle w:val="msoins0"/>
        </w:rPr>
        <w:t>, публикуемая на</w:t>
      </w:r>
      <w:r w:rsidR="009C3E95" w:rsidRPr="00C41705">
        <w:rPr>
          <w:rStyle w:val="msoins0"/>
        </w:rPr>
        <w:t xml:space="preserve"> официальных сайт</w:t>
      </w:r>
      <w:r w:rsidR="009C3E95">
        <w:rPr>
          <w:rStyle w:val="msoins0"/>
        </w:rPr>
        <w:t>ах</w:t>
      </w:r>
      <w:r w:rsidR="009C3E95" w:rsidRPr="00C41705">
        <w:rPr>
          <w:rStyle w:val="msoins0"/>
        </w:rPr>
        <w:t xml:space="preserve"> Банка России, Национальных банков или компетентных органов государств учреждения </w:t>
      </w:r>
      <w:r w:rsidR="009C3E95">
        <w:rPr>
          <w:rStyle w:val="msoins0"/>
        </w:rPr>
        <w:t>Б</w:t>
      </w:r>
      <w:r w:rsidR="009C3E95" w:rsidRPr="004D4BD5">
        <w:rPr>
          <w:rStyle w:val="msoins0"/>
        </w:rPr>
        <w:t>анков</w:t>
      </w:r>
      <w:r w:rsidR="009C3E95">
        <w:rPr>
          <w:rStyle w:val="msoins0"/>
        </w:rPr>
        <w:t xml:space="preserve"> </w:t>
      </w:r>
      <w:r w:rsidR="009C3E95" w:rsidRPr="004D4BD5">
        <w:rPr>
          <w:rStyle w:val="msoins0"/>
        </w:rPr>
        <w:t>-</w:t>
      </w:r>
      <w:r w:rsidR="009C3E95">
        <w:rPr>
          <w:rStyle w:val="msoins0"/>
        </w:rPr>
        <w:t xml:space="preserve"> </w:t>
      </w:r>
      <w:r w:rsidR="009C3E95" w:rsidRPr="004D4BD5">
        <w:rPr>
          <w:rStyle w:val="msoins0"/>
        </w:rPr>
        <w:t>нерезидентов</w:t>
      </w:r>
      <w:r w:rsidR="009C3E95" w:rsidRPr="00C41705">
        <w:rPr>
          <w:rStyle w:val="msoins0"/>
        </w:rPr>
        <w:t xml:space="preserve">, </w:t>
      </w:r>
      <w:r w:rsidR="009C3E95">
        <w:rPr>
          <w:rStyle w:val="msoins0"/>
        </w:rPr>
        <w:t>б</w:t>
      </w:r>
      <w:r w:rsidR="009C3E95" w:rsidRPr="00C41705">
        <w:rPr>
          <w:rStyle w:val="msoins0"/>
        </w:rPr>
        <w:t xml:space="preserve">анков </w:t>
      </w:r>
      <w:proofErr w:type="spellStart"/>
      <w:r w:rsidR="009C3E95" w:rsidRPr="00C41705">
        <w:rPr>
          <w:rStyle w:val="msoins0"/>
        </w:rPr>
        <w:t>ЕврАзЭС</w:t>
      </w:r>
      <w:proofErr w:type="spellEnd"/>
      <w:r w:rsidR="009C3E95" w:rsidRPr="00C41705">
        <w:rPr>
          <w:rStyle w:val="msoins0"/>
        </w:rPr>
        <w:t>, а также органов государственного регулирования;</w:t>
      </w:r>
    </w:p>
    <w:p w:rsidR="009C3E95" w:rsidRPr="00C41705" w:rsidRDefault="001321F8" w:rsidP="003C38C3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и</w:t>
      </w:r>
      <w:r w:rsidR="009C3E95" w:rsidRPr="00C41705">
        <w:rPr>
          <w:rStyle w:val="msoins0"/>
        </w:rPr>
        <w:t>нформация</w:t>
      </w:r>
      <w:r w:rsidR="009C3E95">
        <w:rPr>
          <w:rStyle w:val="msoins0"/>
        </w:rPr>
        <w:t>, размещаемая на</w:t>
      </w:r>
      <w:r w:rsidR="009C3E95" w:rsidRPr="00C41705">
        <w:rPr>
          <w:rStyle w:val="msoins0"/>
        </w:rPr>
        <w:t xml:space="preserve"> официальных сайт</w:t>
      </w:r>
      <w:r w:rsidR="009C3E95">
        <w:rPr>
          <w:rStyle w:val="msoins0"/>
        </w:rPr>
        <w:t>ах</w:t>
      </w:r>
      <w:r w:rsidR="009C3E95" w:rsidRPr="00C41705">
        <w:rPr>
          <w:rStyle w:val="msoins0"/>
        </w:rPr>
        <w:t xml:space="preserve"> новостных агентств (РБК, Прайм-ТАСС, АК&amp;M, </w:t>
      </w:r>
      <w:proofErr w:type="spellStart"/>
      <w:r w:rsidR="009C3E95" w:rsidRPr="003C38C3">
        <w:rPr>
          <w:rStyle w:val="msoins0"/>
        </w:rPr>
        <w:t>Финмаркет</w:t>
      </w:r>
      <w:proofErr w:type="spellEnd"/>
      <w:r w:rsidR="009C3E95" w:rsidRPr="003C38C3">
        <w:rPr>
          <w:rStyle w:val="msoins0"/>
        </w:rPr>
        <w:t>, Интерфакс), информация систем Reuters и Bloomberg, СКРИН, СПАРК, Cbonds и др.;</w:t>
      </w:r>
    </w:p>
    <w:p w:rsidR="009C3E95" w:rsidRPr="00C41705" w:rsidRDefault="001321F8" w:rsidP="003C38C3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и</w:t>
      </w:r>
      <w:r w:rsidR="009C3E95" w:rsidRPr="00C41705">
        <w:rPr>
          <w:rStyle w:val="msoins0"/>
        </w:rPr>
        <w:t>нформация</w:t>
      </w:r>
      <w:r w:rsidR="009C3E95">
        <w:rPr>
          <w:rStyle w:val="msoins0"/>
        </w:rPr>
        <w:t>, публикуемая</w:t>
      </w:r>
      <w:r w:rsidR="009C3E95" w:rsidRPr="00C41705">
        <w:rPr>
          <w:rStyle w:val="msoins0"/>
        </w:rPr>
        <w:t xml:space="preserve"> </w:t>
      </w:r>
      <w:r w:rsidR="009C3E95">
        <w:rPr>
          <w:rStyle w:val="msoins0"/>
        </w:rPr>
        <w:t xml:space="preserve">на </w:t>
      </w:r>
      <w:r w:rsidR="009C3E95" w:rsidRPr="00C41705">
        <w:rPr>
          <w:rStyle w:val="msoins0"/>
        </w:rPr>
        <w:t>официальных сайт</w:t>
      </w:r>
      <w:r w:rsidR="009C3E95">
        <w:rPr>
          <w:rStyle w:val="msoins0"/>
        </w:rPr>
        <w:t>ах</w:t>
      </w:r>
      <w:r w:rsidR="009C3E95" w:rsidRPr="00C41705">
        <w:rPr>
          <w:rStyle w:val="msoins0"/>
        </w:rPr>
        <w:t xml:space="preserve"> саморегулируемых организаций и ассоциаций (ПАРТАД, НАУФОР, НФА, НВА, ММВА, АРБ и др.);</w:t>
      </w:r>
    </w:p>
    <w:p w:rsidR="009C3E95" w:rsidRPr="00C41705" w:rsidRDefault="001321F8" w:rsidP="003C38C3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и</w:t>
      </w:r>
      <w:r w:rsidR="009C3E95" w:rsidRPr="00C41705">
        <w:rPr>
          <w:rStyle w:val="msoins0"/>
        </w:rPr>
        <w:t>нформация</w:t>
      </w:r>
      <w:r w:rsidR="009C3E95">
        <w:rPr>
          <w:rStyle w:val="msoins0"/>
        </w:rPr>
        <w:t>, размещенная на</w:t>
      </w:r>
      <w:r w:rsidR="009C3E95" w:rsidRPr="00C41705">
        <w:rPr>
          <w:rStyle w:val="msoins0"/>
        </w:rPr>
        <w:t xml:space="preserve"> официальных сайт</w:t>
      </w:r>
      <w:r w:rsidR="009C3E95">
        <w:rPr>
          <w:rStyle w:val="msoins0"/>
        </w:rPr>
        <w:t>ах</w:t>
      </w:r>
      <w:r w:rsidR="009C3E95" w:rsidRPr="00C41705">
        <w:rPr>
          <w:rStyle w:val="msoins0"/>
        </w:rPr>
        <w:t xml:space="preserve"> </w:t>
      </w:r>
      <w:r w:rsidR="009C3E95">
        <w:rPr>
          <w:rStyle w:val="msoins0"/>
        </w:rPr>
        <w:t>контраген</w:t>
      </w:r>
      <w:r w:rsidR="009C3E95" w:rsidRPr="00C41705">
        <w:rPr>
          <w:rStyle w:val="msoins0"/>
        </w:rPr>
        <w:t>тов в сети Интернет;</w:t>
      </w:r>
    </w:p>
    <w:p w:rsidR="009C3E95" w:rsidRPr="00C41705" w:rsidRDefault="001321F8" w:rsidP="003C38C3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с</w:t>
      </w:r>
      <w:r w:rsidR="009C3E95" w:rsidRPr="00C41705">
        <w:rPr>
          <w:rStyle w:val="msoins0"/>
        </w:rPr>
        <w:t xml:space="preserve">ведения, полученные от подразделений компаний Группы «Московская Биржа», в том числе по запросу </w:t>
      </w:r>
      <w:r w:rsidR="00644B57">
        <w:rPr>
          <w:rStyle w:val="msoins0"/>
        </w:rPr>
        <w:t>ДАКР</w:t>
      </w:r>
      <w:r w:rsidR="009C3E95" w:rsidRPr="00C41705">
        <w:rPr>
          <w:rStyle w:val="msoins0"/>
        </w:rPr>
        <w:t>;</w:t>
      </w:r>
    </w:p>
    <w:p w:rsidR="009C3E95" w:rsidRPr="00C41705" w:rsidRDefault="001321F8" w:rsidP="003C38C3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и</w:t>
      </w:r>
      <w:r w:rsidR="009C3E95" w:rsidRPr="00C41705">
        <w:rPr>
          <w:rStyle w:val="msoins0"/>
        </w:rPr>
        <w:t xml:space="preserve">нформация об истории сотрудничества с </w:t>
      </w:r>
      <w:r w:rsidR="009C3E95">
        <w:rPr>
          <w:rStyle w:val="msoins0"/>
        </w:rPr>
        <w:t>контраген</w:t>
      </w:r>
      <w:r w:rsidR="009C3E95" w:rsidRPr="00C41705">
        <w:rPr>
          <w:rStyle w:val="msoins0"/>
        </w:rPr>
        <w:t>том, полученная из Внутренних информационных систем Группы «Московская Биржа» (активность, длительность сотрудничества, исполнение обязательств);</w:t>
      </w:r>
    </w:p>
    <w:p w:rsidR="009C3E95" w:rsidRPr="00C41705" w:rsidRDefault="001321F8" w:rsidP="003C38C3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с</w:t>
      </w:r>
      <w:r w:rsidR="009C3E95" w:rsidRPr="00C41705">
        <w:rPr>
          <w:rStyle w:val="msoins0"/>
        </w:rPr>
        <w:t xml:space="preserve">ведения о деловой репутации </w:t>
      </w:r>
      <w:r w:rsidR="009C3E95">
        <w:rPr>
          <w:rStyle w:val="msoins0"/>
        </w:rPr>
        <w:t>контраген</w:t>
      </w:r>
      <w:r w:rsidR="009C3E95" w:rsidRPr="00C41705">
        <w:rPr>
          <w:rStyle w:val="msoins0"/>
        </w:rPr>
        <w:t>тов, в том числе полученные от</w:t>
      </w:r>
      <w:r w:rsidR="009C3E95">
        <w:rPr>
          <w:rStyle w:val="msoins0"/>
        </w:rPr>
        <w:t xml:space="preserve"> </w:t>
      </w:r>
      <w:r w:rsidR="009C3E95" w:rsidRPr="00C41705">
        <w:rPr>
          <w:rStyle w:val="msoins0"/>
        </w:rPr>
        <w:t>С</w:t>
      </w:r>
      <w:r w:rsidR="00D50ECD">
        <w:rPr>
          <w:rStyle w:val="msoins0"/>
        </w:rPr>
        <w:t>лужбы безопасности</w:t>
      </w:r>
      <w:r w:rsidR="009C3E95" w:rsidRPr="00C41705">
        <w:rPr>
          <w:rStyle w:val="msoins0"/>
        </w:rPr>
        <w:t>.</w:t>
      </w:r>
    </w:p>
    <w:p w:rsidR="009718E5" w:rsidRPr="00E35AFF" w:rsidRDefault="009718E5" w:rsidP="003C38C3">
      <w:pPr>
        <w:tabs>
          <w:tab w:val="left" w:pos="600"/>
        </w:tabs>
        <w:ind w:left="567"/>
        <w:jc w:val="both"/>
        <w:rPr>
          <w:rStyle w:val="msoins0"/>
          <w:sz w:val="6"/>
          <w:szCs w:val="6"/>
        </w:rPr>
      </w:pPr>
    </w:p>
    <w:p w:rsidR="009C3E95" w:rsidRDefault="00AC0843" w:rsidP="003C38C3">
      <w:pPr>
        <w:numPr>
          <w:ilvl w:val="1"/>
          <w:numId w:val="2"/>
        </w:numPr>
        <w:tabs>
          <w:tab w:val="num" w:pos="900"/>
          <w:tab w:val="left" w:pos="1134"/>
        </w:tabs>
        <w:spacing w:before="120" w:after="120"/>
        <w:ind w:left="0" w:firstLine="567"/>
        <w:jc w:val="both"/>
        <w:rPr>
          <w:rStyle w:val="msoins0"/>
        </w:rPr>
      </w:pPr>
      <w:r>
        <w:rPr>
          <w:rStyle w:val="msoins0"/>
        </w:rPr>
        <w:t>П</w:t>
      </w:r>
      <w:r w:rsidR="009C3E95" w:rsidRPr="00E56A96">
        <w:rPr>
          <w:rStyle w:val="msoins0"/>
        </w:rPr>
        <w:t>омимо</w:t>
      </w:r>
      <w:r w:rsidR="009C3E95" w:rsidRPr="00C41705">
        <w:rPr>
          <w:rStyle w:val="msoins0"/>
        </w:rPr>
        <w:t xml:space="preserve"> информации, предусмотренной в п.</w:t>
      </w:r>
      <w:r w:rsidR="009C3E95">
        <w:rPr>
          <w:rStyle w:val="msoins0"/>
        </w:rPr>
        <w:t xml:space="preserve"> 3.9 </w:t>
      </w:r>
      <w:r w:rsidR="009C3E95" w:rsidRPr="00C41705">
        <w:rPr>
          <w:rStyle w:val="msoins0"/>
        </w:rPr>
        <w:t>настоящей Методи</w:t>
      </w:r>
      <w:r w:rsidR="00771648">
        <w:rPr>
          <w:rStyle w:val="msoins0"/>
        </w:rPr>
        <w:t>ческих рекомендаций</w:t>
      </w:r>
      <w:r w:rsidR="009C3E95" w:rsidRPr="00C41705">
        <w:rPr>
          <w:rStyle w:val="msoins0"/>
        </w:rPr>
        <w:t xml:space="preserve">, </w:t>
      </w:r>
      <w:r w:rsidR="00771648">
        <w:rPr>
          <w:rStyle w:val="msoins0"/>
        </w:rPr>
        <w:t>ДАКР</w:t>
      </w:r>
      <w:r w:rsidR="009C3E95" w:rsidRPr="00C41705">
        <w:rPr>
          <w:rStyle w:val="msoins0"/>
        </w:rPr>
        <w:t xml:space="preserve"> имеет право использовать любую иную доступную ему информацию, способную повлиять на оценку </w:t>
      </w:r>
      <w:r w:rsidR="009C3E95">
        <w:rPr>
          <w:rStyle w:val="msoins0"/>
        </w:rPr>
        <w:t>финансового положения</w:t>
      </w:r>
      <w:r w:rsidR="009C3E95" w:rsidRPr="00C41705">
        <w:rPr>
          <w:rStyle w:val="msoins0"/>
        </w:rPr>
        <w:t xml:space="preserve"> </w:t>
      </w:r>
      <w:r w:rsidR="009C3E95">
        <w:rPr>
          <w:rStyle w:val="msoins0"/>
        </w:rPr>
        <w:t>контраген</w:t>
      </w:r>
      <w:r w:rsidR="009C3E95" w:rsidRPr="00C41705">
        <w:rPr>
          <w:rStyle w:val="msoins0"/>
        </w:rPr>
        <w:t>тов. При этом учитывается степень надежности источников получения такой информации.</w:t>
      </w:r>
    </w:p>
    <w:p w:rsidR="00C02974" w:rsidRPr="00C41705" w:rsidRDefault="00C02974" w:rsidP="003C38C3">
      <w:pPr>
        <w:numPr>
          <w:ilvl w:val="1"/>
          <w:numId w:val="2"/>
        </w:numPr>
        <w:tabs>
          <w:tab w:val="num" w:pos="900"/>
          <w:tab w:val="left" w:pos="1134"/>
        </w:tabs>
        <w:spacing w:before="120" w:after="120"/>
        <w:ind w:left="0" w:firstLine="567"/>
        <w:jc w:val="both"/>
        <w:rPr>
          <w:rStyle w:val="msoins0"/>
        </w:rPr>
      </w:pPr>
      <w:r w:rsidRPr="00490E17">
        <w:lastRenderedPageBreak/>
        <w:t>Р</w:t>
      </w:r>
      <w:r>
        <w:t xml:space="preserve">езультатом проведения </w:t>
      </w:r>
      <w:r w:rsidRPr="00490E17">
        <w:t xml:space="preserve">индивидуальной оценки </w:t>
      </w:r>
      <w:r>
        <w:t>является</w:t>
      </w:r>
      <w:r w:rsidRPr="00490E17">
        <w:t xml:space="preserve"> </w:t>
      </w:r>
      <w:r>
        <w:t>а</w:t>
      </w:r>
      <w:r w:rsidRPr="00490E17">
        <w:t>налитическо</w:t>
      </w:r>
      <w:r>
        <w:t>е</w:t>
      </w:r>
      <w:r w:rsidRPr="00490E17">
        <w:t xml:space="preserve"> (экспертно</w:t>
      </w:r>
      <w:r>
        <w:t>е</w:t>
      </w:r>
      <w:r w:rsidRPr="00490E17">
        <w:t>) заключени</w:t>
      </w:r>
      <w:r>
        <w:t xml:space="preserve">е, содержащее экспертную оценку </w:t>
      </w:r>
      <w:r w:rsidRPr="00490E17">
        <w:t>финансово</w:t>
      </w:r>
      <w:r>
        <w:t>го</w:t>
      </w:r>
      <w:r w:rsidRPr="00490E17">
        <w:t xml:space="preserve"> </w:t>
      </w:r>
      <w:r>
        <w:t xml:space="preserve">положения </w:t>
      </w:r>
      <w:r>
        <w:rPr>
          <w:rStyle w:val="msoins0"/>
        </w:rPr>
        <w:t xml:space="preserve">контрагента </w:t>
      </w:r>
      <w:r w:rsidRPr="00490E17">
        <w:t>и приемлемост</w:t>
      </w:r>
      <w:r>
        <w:t>и/</w:t>
      </w:r>
      <w:r w:rsidRPr="00490E17">
        <w:t>неприемлемост</w:t>
      </w:r>
      <w:r>
        <w:t>и</w:t>
      </w:r>
      <w:r w:rsidRPr="00490E17">
        <w:t xml:space="preserve"> уровня кредитного риска, принимаемого на контрагента.</w:t>
      </w:r>
    </w:p>
    <w:p w:rsidR="004A7AA4" w:rsidRDefault="004A7AA4" w:rsidP="00703E2E">
      <w:pPr>
        <w:numPr>
          <w:ilvl w:val="0"/>
          <w:numId w:val="2"/>
        </w:numPr>
        <w:spacing w:before="480" w:after="200"/>
        <w:jc w:val="center"/>
        <w:rPr>
          <w:rStyle w:val="msoins0"/>
          <w:b/>
        </w:rPr>
      </w:pPr>
      <w:bookmarkStart w:id="11" w:name="_Ref207167531"/>
      <w:bookmarkStart w:id="12" w:name="_Toc214711950"/>
      <w:bookmarkStart w:id="13" w:name="_Toc214712137"/>
      <w:bookmarkStart w:id="14" w:name="_Toc214714486"/>
      <w:r w:rsidRPr="00B123DC">
        <w:rPr>
          <w:rStyle w:val="msoins0"/>
          <w:b/>
        </w:rPr>
        <w:t xml:space="preserve">Основания для присвоения </w:t>
      </w:r>
      <w:bookmarkEnd w:id="11"/>
      <w:bookmarkEnd w:id="12"/>
      <w:bookmarkEnd w:id="13"/>
      <w:bookmarkEnd w:id="14"/>
      <w:r w:rsidR="00703E2E" w:rsidRPr="00703E2E">
        <w:rPr>
          <w:rStyle w:val="msoins0"/>
          <w:b/>
        </w:rPr>
        <w:t xml:space="preserve">индивидуальной оценки </w:t>
      </w:r>
      <w:r w:rsidR="00D95FCE">
        <w:rPr>
          <w:rStyle w:val="msoins0"/>
          <w:b/>
        </w:rPr>
        <w:t>финансового положения как «плохое»</w:t>
      </w:r>
    </w:p>
    <w:p w:rsidR="001958B6" w:rsidRPr="00F206BA" w:rsidRDefault="001958B6" w:rsidP="003C38C3">
      <w:pPr>
        <w:numPr>
          <w:ilvl w:val="1"/>
          <w:numId w:val="46"/>
        </w:numPr>
        <w:tabs>
          <w:tab w:val="clear" w:pos="792"/>
          <w:tab w:val="num" w:pos="900"/>
        </w:tabs>
        <w:spacing w:before="120"/>
        <w:ind w:left="0" w:firstLine="329"/>
        <w:jc w:val="both"/>
        <w:outlineLvl w:val="1"/>
        <w:rPr>
          <w:rStyle w:val="msoins0"/>
          <w:sz w:val="20"/>
          <w:szCs w:val="20"/>
        </w:rPr>
      </w:pPr>
      <w:r w:rsidRPr="00ED4A83">
        <w:rPr>
          <w:rStyle w:val="msoins0"/>
        </w:rPr>
        <w:t xml:space="preserve">Финансовому положению </w:t>
      </w:r>
      <w:r w:rsidR="00AB0976">
        <w:rPr>
          <w:rStyle w:val="msoins0"/>
        </w:rPr>
        <w:t>контрагента</w:t>
      </w:r>
      <w:r w:rsidRPr="00ED4A83">
        <w:rPr>
          <w:rStyle w:val="msoins0"/>
        </w:rPr>
        <w:t xml:space="preserve"> </w:t>
      </w:r>
      <w:r>
        <w:rPr>
          <w:rStyle w:val="msoins0"/>
        </w:rPr>
        <w:t>может быть присвоена</w:t>
      </w:r>
      <w:r w:rsidRPr="00ED4A83">
        <w:rPr>
          <w:rStyle w:val="msoins0"/>
        </w:rPr>
        <w:t xml:space="preserve"> оценка</w:t>
      </w:r>
      <w:r w:rsidR="00D95FCE">
        <w:rPr>
          <w:rStyle w:val="msoins0"/>
        </w:rPr>
        <w:t xml:space="preserve"> </w:t>
      </w:r>
      <w:r w:rsidRPr="00ED4A83">
        <w:rPr>
          <w:rStyle w:val="msoins0"/>
        </w:rPr>
        <w:t>«плохо</w:t>
      </w:r>
      <w:r w:rsidR="00D61105">
        <w:rPr>
          <w:rStyle w:val="msoins0"/>
        </w:rPr>
        <w:t>е</w:t>
      </w:r>
      <w:r w:rsidRPr="00ED4A83">
        <w:rPr>
          <w:rStyle w:val="msoins0"/>
        </w:rPr>
        <w:t xml:space="preserve">» в случае наличия в </w:t>
      </w:r>
      <w:r>
        <w:rPr>
          <w:rStyle w:val="msoins0"/>
        </w:rPr>
        <w:t>ее</w:t>
      </w:r>
      <w:r w:rsidRPr="00ED4A83">
        <w:rPr>
          <w:rStyle w:val="msoins0"/>
        </w:rPr>
        <w:t xml:space="preserve"> деятельности</w:t>
      </w:r>
      <w:r>
        <w:rPr>
          <w:rStyle w:val="msoins0"/>
        </w:rPr>
        <w:t xml:space="preserve"> хотя бы одного из</w:t>
      </w:r>
      <w:r w:rsidRPr="00ED4A83">
        <w:rPr>
          <w:rStyle w:val="msoins0"/>
        </w:rPr>
        <w:t xml:space="preserve"> </w:t>
      </w:r>
      <w:r>
        <w:rPr>
          <w:rStyle w:val="msoins0"/>
        </w:rPr>
        <w:t>перечисленных ниже существенных негативных факторов</w:t>
      </w:r>
      <w:r w:rsidRPr="00ED4A83">
        <w:rPr>
          <w:rStyle w:val="msoins0"/>
        </w:rPr>
        <w:t>,</w:t>
      </w:r>
      <w:r>
        <w:rPr>
          <w:rStyle w:val="msoins0"/>
        </w:rPr>
        <w:t xml:space="preserve"> вне зависимости от оценки других показателей/ факторов, характеризующих </w:t>
      </w:r>
      <w:r w:rsidRPr="00F206BA">
        <w:rPr>
          <w:rStyle w:val="msoins0"/>
        </w:rPr>
        <w:t>финансов</w:t>
      </w:r>
      <w:r>
        <w:rPr>
          <w:rStyle w:val="msoins0"/>
        </w:rPr>
        <w:t>ую устойчивость контрагента данной группы</w:t>
      </w:r>
      <w:r w:rsidRPr="00F206BA">
        <w:rPr>
          <w:rStyle w:val="msoins0"/>
        </w:rPr>
        <w:t>:</w:t>
      </w:r>
    </w:p>
    <w:p w:rsidR="004A7AA4" w:rsidRPr="00B123DC" w:rsidRDefault="004A7AA4" w:rsidP="004A7AA4">
      <w:pPr>
        <w:numPr>
          <w:ilvl w:val="0"/>
          <w:numId w:val="42"/>
        </w:numPr>
        <w:tabs>
          <w:tab w:val="left" w:pos="0"/>
          <w:tab w:val="num" w:pos="90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 xml:space="preserve">несвоевременное исполнение </w:t>
      </w:r>
      <w:r>
        <w:rPr>
          <w:rStyle w:val="msoins0"/>
        </w:rPr>
        <w:t>контраген</w:t>
      </w:r>
      <w:r w:rsidRPr="00B123DC">
        <w:rPr>
          <w:rStyle w:val="msoins0"/>
        </w:rPr>
        <w:t>том своих обязательств</w:t>
      </w:r>
      <w:r>
        <w:rPr>
          <w:rStyle w:val="msoins0"/>
        </w:rPr>
        <w:t>;</w:t>
      </w:r>
    </w:p>
    <w:p w:rsidR="004A7AA4" w:rsidRPr="00B123DC" w:rsidRDefault="004A7AA4" w:rsidP="004A7AA4">
      <w:pPr>
        <w:numPr>
          <w:ilvl w:val="0"/>
          <w:numId w:val="42"/>
        </w:numPr>
        <w:tabs>
          <w:tab w:val="left" w:pos="0"/>
          <w:tab w:val="num" w:pos="90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 xml:space="preserve">наличие в распоряжении </w:t>
      </w:r>
      <w:r w:rsidR="00644B57">
        <w:rPr>
          <w:rStyle w:val="msoins0"/>
        </w:rPr>
        <w:t>ДАКР</w:t>
      </w:r>
      <w:r w:rsidRPr="00B123DC">
        <w:rPr>
          <w:rStyle w:val="msoins0"/>
        </w:rPr>
        <w:t xml:space="preserve"> существенной негативной информации (в том числе полученной</w:t>
      </w:r>
      <w:r w:rsidRPr="00B123DC" w:rsidDel="009B4D7D">
        <w:rPr>
          <w:rStyle w:val="msoins0"/>
        </w:rPr>
        <w:t xml:space="preserve"> </w:t>
      </w:r>
      <w:r w:rsidR="00644B57">
        <w:rPr>
          <w:rStyle w:val="msoins0"/>
        </w:rPr>
        <w:t>от Службы безопасности</w:t>
      </w:r>
      <w:r w:rsidRPr="00B123DC">
        <w:rPr>
          <w:rStyle w:val="msoins0"/>
        </w:rPr>
        <w:t xml:space="preserve">), дающей основания считать возможным значительное ухудшение финансового положения </w:t>
      </w:r>
      <w:r>
        <w:rPr>
          <w:rStyle w:val="msoins0"/>
        </w:rPr>
        <w:t>контраген</w:t>
      </w:r>
      <w:r w:rsidRPr="00B123DC">
        <w:rPr>
          <w:rStyle w:val="msoins0"/>
        </w:rPr>
        <w:t xml:space="preserve">та (применение санкций надзорных органов, возбуждение уголовных дел в отношении руководителей и менеджеров </w:t>
      </w:r>
      <w:r>
        <w:rPr>
          <w:rStyle w:val="msoins0"/>
        </w:rPr>
        <w:t>контраген</w:t>
      </w:r>
      <w:r w:rsidRPr="00B123DC">
        <w:rPr>
          <w:rStyle w:val="msoins0"/>
        </w:rPr>
        <w:t xml:space="preserve">та, иной информации); </w:t>
      </w:r>
    </w:p>
    <w:p w:rsidR="004A7AA4" w:rsidRPr="00B123DC" w:rsidRDefault="004A7AA4" w:rsidP="004A7AA4">
      <w:pPr>
        <w:numPr>
          <w:ilvl w:val="0"/>
          <w:numId w:val="42"/>
        </w:numPr>
        <w:tabs>
          <w:tab w:val="left" w:pos="0"/>
          <w:tab w:val="num" w:pos="90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>наличие на последнюю отчетную дату просроченной задолженности по полученным кредитам, депозитам и прочим привлеченным средствам, очереди не исполненных в срок распоряжений</w:t>
      </w:r>
      <w:r>
        <w:rPr>
          <w:rStyle w:val="msoins0"/>
        </w:rPr>
        <w:t xml:space="preserve">, </w:t>
      </w:r>
      <w:r w:rsidRPr="00755F5B">
        <w:rPr>
          <w:rStyle w:val="msoins0"/>
        </w:rPr>
        <w:t xml:space="preserve">нарушение </w:t>
      </w:r>
      <w:r>
        <w:rPr>
          <w:rStyle w:val="msoins0"/>
        </w:rPr>
        <w:t xml:space="preserve">сроков исполнения </w:t>
      </w:r>
      <w:r w:rsidRPr="00755F5B">
        <w:rPr>
          <w:rStyle w:val="msoins0"/>
        </w:rPr>
        <w:t>обязательств перед клиентами</w:t>
      </w:r>
      <w:r>
        <w:rPr>
          <w:rStyle w:val="msoins0"/>
        </w:rPr>
        <w:t>,</w:t>
      </w:r>
      <w:r w:rsidRPr="00755F5B">
        <w:t xml:space="preserve"> </w:t>
      </w:r>
      <w:r>
        <w:t>наличие просроченных обязательств перед бюджетом и внебюджетными фондами</w:t>
      </w:r>
      <w:r w:rsidRPr="00B123DC">
        <w:rPr>
          <w:rStyle w:val="msoins0"/>
        </w:rPr>
        <w:t>;</w:t>
      </w:r>
    </w:p>
    <w:p w:rsidR="004A7AA4" w:rsidRPr="00B123DC" w:rsidRDefault="004A7AA4" w:rsidP="004A7AA4">
      <w:pPr>
        <w:numPr>
          <w:ilvl w:val="0"/>
          <w:numId w:val="42"/>
        </w:numPr>
        <w:tabs>
          <w:tab w:val="left" w:pos="360"/>
          <w:tab w:val="num" w:pos="90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 xml:space="preserve">непредставление </w:t>
      </w:r>
      <w:r>
        <w:rPr>
          <w:rStyle w:val="msoins0"/>
        </w:rPr>
        <w:t>контраген</w:t>
      </w:r>
      <w:r w:rsidRPr="00B123DC">
        <w:rPr>
          <w:rStyle w:val="msoins0"/>
        </w:rPr>
        <w:t>том</w:t>
      </w:r>
      <w:r>
        <w:rPr>
          <w:rStyle w:val="msoins0"/>
        </w:rPr>
        <w:t xml:space="preserve"> </w:t>
      </w:r>
      <w:r w:rsidRPr="00B123DC">
        <w:rPr>
          <w:rStyle w:val="msoins0"/>
        </w:rPr>
        <w:t xml:space="preserve">финансовой отчетности в течение более чем 3 рабочих дней с даты установленной </w:t>
      </w:r>
      <w:r>
        <w:rPr>
          <w:rStyle w:val="msoins0"/>
        </w:rPr>
        <w:t>в</w:t>
      </w:r>
      <w:r w:rsidRPr="00B123DC">
        <w:rPr>
          <w:rStyle w:val="msoins0"/>
        </w:rPr>
        <w:t>нутренними документами Группы «Московская Биржа»;</w:t>
      </w:r>
    </w:p>
    <w:p w:rsidR="004A7AA4" w:rsidRDefault="004A7AA4" w:rsidP="004A7AA4">
      <w:pPr>
        <w:numPr>
          <w:ilvl w:val="0"/>
          <w:numId w:val="42"/>
        </w:numPr>
        <w:tabs>
          <w:tab w:val="left" w:pos="360"/>
          <w:tab w:val="num" w:pos="90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 xml:space="preserve">отсутствие в открытых источниках актуальной финансовой отчетности </w:t>
      </w:r>
      <w:r>
        <w:rPr>
          <w:rStyle w:val="msoins0"/>
        </w:rPr>
        <w:t>контрагента</w:t>
      </w:r>
      <w:r w:rsidRPr="00B123DC">
        <w:rPr>
          <w:rStyle w:val="msoins0"/>
        </w:rPr>
        <w:t>;</w:t>
      </w:r>
    </w:p>
    <w:p w:rsidR="004A7AA4" w:rsidRPr="00B123DC" w:rsidRDefault="004A7AA4" w:rsidP="004A7AA4">
      <w:pPr>
        <w:widowControl w:val="0"/>
        <w:numPr>
          <w:ilvl w:val="0"/>
          <w:numId w:val="42"/>
        </w:numPr>
        <w:tabs>
          <w:tab w:val="left" w:pos="360"/>
          <w:tab w:val="num" w:pos="90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>отрицательная</w:t>
      </w:r>
      <w:r w:rsidRPr="00B123DC">
        <w:t xml:space="preserve"> величина капитала или его существенное (на 2</w:t>
      </w:r>
      <w:r>
        <w:t>0</w:t>
      </w:r>
      <w:r w:rsidRPr="00B123DC">
        <w:t>% и более) снижение по сравнению с максимальной величиной, достигнутой за последние 4 квартальных отчетных даты</w:t>
      </w:r>
      <w:r w:rsidRPr="00A15679">
        <w:rPr>
          <w:sz w:val="22"/>
          <w:szCs w:val="22"/>
        </w:rPr>
        <w:t>;</w:t>
      </w:r>
    </w:p>
    <w:p w:rsidR="004A7AA4" w:rsidRPr="00B123DC" w:rsidRDefault="004A7AA4" w:rsidP="004A7AA4">
      <w:pPr>
        <w:numPr>
          <w:ilvl w:val="0"/>
          <w:numId w:val="42"/>
        </w:numPr>
        <w:tabs>
          <w:tab w:val="left" w:pos="360"/>
          <w:tab w:val="num" w:pos="90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 xml:space="preserve">наличие убытков текущего года в размере 20% и более от величины собственных средств (капитала) </w:t>
      </w:r>
      <w:r>
        <w:rPr>
          <w:rStyle w:val="msoins0"/>
        </w:rPr>
        <w:t>контраген</w:t>
      </w:r>
      <w:r w:rsidRPr="00B123DC">
        <w:rPr>
          <w:rStyle w:val="msoins0"/>
        </w:rPr>
        <w:t>та</w:t>
      </w:r>
      <w:r>
        <w:rPr>
          <w:rStyle w:val="msoins0"/>
        </w:rPr>
        <w:t xml:space="preserve"> </w:t>
      </w:r>
      <w:r w:rsidRPr="00B123DC">
        <w:rPr>
          <w:rStyle w:val="msoins0"/>
        </w:rPr>
        <w:t>или наличие отрицательного финансового результата деятельности по балансу</w:t>
      </w:r>
      <w:r>
        <w:rPr>
          <w:rStyle w:val="msoins0"/>
        </w:rPr>
        <w:t xml:space="preserve"> контрагента</w:t>
      </w:r>
      <w:r w:rsidRPr="00A15679">
        <w:rPr>
          <w:sz w:val="22"/>
          <w:szCs w:val="22"/>
        </w:rPr>
        <w:t>;</w:t>
      </w:r>
    </w:p>
    <w:p w:rsidR="004A7AA4" w:rsidRPr="00B123DC" w:rsidRDefault="004A7AA4" w:rsidP="004A7AA4">
      <w:pPr>
        <w:numPr>
          <w:ilvl w:val="0"/>
          <w:numId w:val="42"/>
        </w:numPr>
        <w:tabs>
          <w:tab w:val="left" w:pos="0"/>
          <w:tab w:val="num" w:pos="900"/>
          <w:tab w:val="num" w:pos="126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 xml:space="preserve">для </w:t>
      </w:r>
      <w:r>
        <w:rPr>
          <w:rStyle w:val="msoins0"/>
        </w:rPr>
        <w:t>контраген</w:t>
      </w:r>
      <w:r w:rsidRPr="00B123DC">
        <w:rPr>
          <w:rStyle w:val="msoins0"/>
        </w:rPr>
        <w:t>та – кредитной организации, неоднократное достижение минимально установленного значения норматива достаточности капитала (</w:t>
      </w:r>
      <w:r>
        <w:rPr>
          <w:rStyle w:val="msoins0"/>
        </w:rPr>
        <w:t>Н1.0, Н1.1, Н1.2</w:t>
      </w:r>
      <w:r w:rsidRPr="00B123DC">
        <w:rPr>
          <w:rStyle w:val="msoins0"/>
        </w:rPr>
        <w:t xml:space="preserve">) или его однократное нарушение, для </w:t>
      </w:r>
      <w:r>
        <w:rPr>
          <w:rStyle w:val="msoins0"/>
        </w:rPr>
        <w:t>кредитной организации-нерезидента</w:t>
      </w:r>
      <w:r w:rsidRPr="00B123DC">
        <w:rPr>
          <w:rStyle w:val="msoins0"/>
        </w:rPr>
        <w:t xml:space="preserve"> – показателя достаточности капитала</w:t>
      </w:r>
      <w:r>
        <w:rPr>
          <w:rStyle w:val="msoins0"/>
        </w:rPr>
        <w:t>,</w:t>
      </w:r>
      <w:r w:rsidRPr="00B123DC">
        <w:rPr>
          <w:rStyle w:val="msoins0"/>
        </w:rPr>
        <w:t xml:space="preserve"> установленного компетентным органом </w:t>
      </w:r>
      <w:r>
        <w:rPr>
          <w:rStyle w:val="msoins0"/>
        </w:rPr>
        <w:t>государства</w:t>
      </w:r>
      <w:r w:rsidRPr="00B123DC">
        <w:rPr>
          <w:rStyle w:val="msoins0"/>
        </w:rPr>
        <w:t xml:space="preserve"> учреждения </w:t>
      </w:r>
      <w:r>
        <w:rPr>
          <w:rStyle w:val="msoins0"/>
        </w:rPr>
        <w:t>контраген</w:t>
      </w:r>
      <w:r w:rsidRPr="00B123DC">
        <w:rPr>
          <w:rStyle w:val="msoins0"/>
        </w:rPr>
        <w:t>та;</w:t>
      </w:r>
    </w:p>
    <w:p w:rsidR="004A7AA4" w:rsidRPr="00B123DC" w:rsidRDefault="004A7AA4" w:rsidP="004A7AA4">
      <w:pPr>
        <w:numPr>
          <w:ilvl w:val="0"/>
          <w:numId w:val="42"/>
        </w:numPr>
        <w:tabs>
          <w:tab w:val="left" w:pos="0"/>
          <w:tab w:val="num" w:pos="900"/>
          <w:tab w:val="num" w:pos="126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 xml:space="preserve">неоднократное </w:t>
      </w:r>
      <w:r>
        <w:rPr>
          <w:rStyle w:val="msoins0"/>
        </w:rPr>
        <w:t>нарушение</w:t>
      </w:r>
      <w:r w:rsidRPr="00B123DC">
        <w:rPr>
          <w:rStyle w:val="msoins0"/>
        </w:rPr>
        <w:t xml:space="preserve"> </w:t>
      </w:r>
      <w:r>
        <w:rPr>
          <w:rStyle w:val="msoins0"/>
        </w:rPr>
        <w:t>контраген</w:t>
      </w:r>
      <w:r w:rsidRPr="00B123DC">
        <w:rPr>
          <w:rStyle w:val="msoins0"/>
        </w:rPr>
        <w:t xml:space="preserve">том – кредитной организацией обязательных </w:t>
      </w:r>
      <w:r>
        <w:rPr>
          <w:rStyle w:val="msoins0"/>
        </w:rPr>
        <w:t xml:space="preserve">к исполнению </w:t>
      </w:r>
      <w:r w:rsidRPr="00B123DC">
        <w:rPr>
          <w:rStyle w:val="msoins0"/>
        </w:rPr>
        <w:t>нормативов Банка России</w:t>
      </w:r>
      <w:r w:rsidRPr="00B123DC" w:rsidDel="00383A10">
        <w:rPr>
          <w:rStyle w:val="msoins0"/>
        </w:rPr>
        <w:t xml:space="preserve"> </w:t>
      </w:r>
      <w:r w:rsidRPr="00B123DC">
        <w:rPr>
          <w:rStyle w:val="msoins0"/>
        </w:rPr>
        <w:t>(Н2, Н3, Н4, Н6, Н7, Н9.1, Н10.1, Н12</w:t>
      </w:r>
      <w:r w:rsidR="00AB1BD1">
        <w:rPr>
          <w:rStyle w:val="msoins0"/>
        </w:rPr>
        <w:t>, Н25</w:t>
      </w:r>
      <w:r w:rsidRPr="00B123DC">
        <w:rPr>
          <w:rStyle w:val="msoins0"/>
        </w:rPr>
        <w:t xml:space="preserve">); </w:t>
      </w:r>
      <w:r>
        <w:rPr>
          <w:rStyle w:val="msoins0"/>
        </w:rPr>
        <w:t xml:space="preserve">кредитной организацией-нерезидентом </w:t>
      </w:r>
      <w:r w:rsidRPr="00B123DC">
        <w:rPr>
          <w:rStyle w:val="msoins0"/>
        </w:rPr>
        <w:t xml:space="preserve">– нормативов деятельности, установленных компетентным органом государства учреждения </w:t>
      </w:r>
      <w:r>
        <w:rPr>
          <w:rStyle w:val="msoins0"/>
        </w:rPr>
        <w:t>кредитной организации</w:t>
      </w:r>
      <w:r w:rsidRPr="00B123DC" w:rsidDel="003E5793">
        <w:rPr>
          <w:rStyle w:val="msoins0"/>
        </w:rPr>
        <w:t xml:space="preserve"> </w:t>
      </w:r>
      <w:r w:rsidRPr="00B123DC">
        <w:rPr>
          <w:rStyle w:val="msoins0"/>
        </w:rPr>
        <w:t>–</w:t>
      </w:r>
      <w:r>
        <w:rPr>
          <w:rStyle w:val="msoins0"/>
        </w:rPr>
        <w:t xml:space="preserve"> нерезидента</w:t>
      </w:r>
      <w:r w:rsidRPr="00B123DC">
        <w:rPr>
          <w:rStyle w:val="msoins0"/>
        </w:rPr>
        <w:t>;</w:t>
      </w:r>
    </w:p>
    <w:p w:rsidR="004A7AA4" w:rsidRDefault="004A7AA4" w:rsidP="004A7AA4">
      <w:pPr>
        <w:numPr>
          <w:ilvl w:val="0"/>
          <w:numId w:val="42"/>
        </w:numPr>
        <w:tabs>
          <w:tab w:val="left" w:pos="0"/>
          <w:tab w:val="num" w:pos="900"/>
          <w:tab w:val="num" w:pos="1260"/>
        </w:tabs>
        <w:spacing w:before="60"/>
        <w:ind w:left="901" w:hanging="544"/>
        <w:jc w:val="both"/>
        <w:rPr>
          <w:rStyle w:val="msoins0"/>
        </w:rPr>
      </w:pPr>
      <w:r w:rsidRPr="00B123DC">
        <w:rPr>
          <w:rStyle w:val="msoins0"/>
        </w:rPr>
        <w:t xml:space="preserve">наличие в деятельности </w:t>
      </w:r>
      <w:r>
        <w:rPr>
          <w:rStyle w:val="msoins0"/>
        </w:rPr>
        <w:t>контраген</w:t>
      </w:r>
      <w:r w:rsidRPr="00B123DC">
        <w:rPr>
          <w:rStyle w:val="msoins0"/>
        </w:rPr>
        <w:t xml:space="preserve">та оснований для осуществления мер по предупреждению банкротства в соответствии с законодательством государства учреждения </w:t>
      </w:r>
      <w:r>
        <w:rPr>
          <w:rStyle w:val="msoins0"/>
        </w:rPr>
        <w:t>контраген</w:t>
      </w:r>
      <w:r w:rsidRPr="00B123DC">
        <w:rPr>
          <w:rStyle w:val="msoins0"/>
        </w:rPr>
        <w:t>та</w:t>
      </w:r>
      <w:r>
        <w:rPr>
          <w:rStyle w:val="msoins0"/>
        </w:rPr>
        <w:t xml:space="preserve"> </w:t>
      </w:r>
      <w:r w:rsidRPr="00B123DC">
        <w:rPr>
          <w:rStyle w:val="msoins0"/>
        </w:rPr>
        <w:t xml:space="preserve">о несостоятельности (банкротстве), а также основания для </w:t>
      </w:r>
      <w:r w:rsidRPr="00B123DC">
        <w:rPr>
          <w:rStyle w:val="msoins0"/>
        </w:rPr>
        <w:lastRenderedPageBreak/>
        <w:t xml:space="preserve">отзыва уполномоченным органом лицензии на осуществление </w:t>
      </w:r>
      <w:r>
        <w:rPr>
          <w:rStyle w:val="msoins0"/>
        </w:rPr>
        <w:t>определенного</w:t>
      </w:r>
      <w:r w:rsidRPr="00B123DC">
        <w:rPr>
          <w:rStyle w:val="msoins0"/>
        </w:rPr>
        <w:t xml:space="preserve"> вида деятельности в соответствии с законодательством государства учреждения </w:t>
      </w:r>
      <w:r>
        <w:rPr>
          <w:rStyle w:val="msoins0"/>
        </w:rPr>
        <w:t>контраген</w:t>
      </w:r>
      <w:r w:rsidRPr="00B123DC">
        <w:rPr>
          <w:rStyle w:val="msoins0"/>
        </w:rPr>
        <w:t>та</w:t>
      </w:r>
      <w:r>
        <w:rPr>
          <w:rStyle w:val="msoins0"/>
        </w:rPr>
        <w:t>.</w:t>
      </w:r>
    </w:p>
    <w:p w:rsidR="0028366A" w:rsidRPr="00364FA6" w:rsidRDefault="00811681" w:rsidP="006E32B5">
      <w:pPr>
        <w:numPr>
          <w:ilvl w:val="0"/>
          <w:numId w:val="2"/>
        </w:numPr>
        <w:spacing w:before="720" w:after="200"/>
        <w:jc w:val="center"/>
        <w:rPr>
          <w:rStyle w:val="msoins0"/>
          <w:b/>
        </w:rPr>
      </w:pPr>
      <w:r>
        <w:rPr>
          <w:rStyle w:val="msoins0"/>
          <w:b/>
        </w:rPr>
        <w:t xml:space="preserve"> </w:t>
      </w:r>
      <w:r w:rsidR="0028366A" w:rsidRPr="00B76724">
        <w:rPr>
          <w:rStyle w:val="msoins0"/>
          <w:b/>
        </w:rPr>
        <w:t>Особенности</w:t>
      </w:r>
      <w:r w:rsidR="0028366A" w:rsidRPr="00E805F4">
        <w:rPr>
          <w:rStyle w:val="msoins0"/>
          <w:b/>
        </w:rPr>
        <w:t xml:space="preserve"> </w:t>
      </w:r>
      <w:r w:rsidR="004725EC" w:rsidRPr="00E805F4">
        <w:rPr>
          <w:rStyle w:val="msoins0"/>
          <w:b/>
        </w:rPr>
        <w:t xml:space="preserve">индивидуальной </w:t>
      </w:r>
      <w:r w:rsidR="0028366A" w:rsidRPr="00E805F4">
        <w:rPr>
          <w:rStyle w:val="msoins0"/>
          <w:b/>
        </w:rPr>
        <w:t xml:space="preserve">оценки </w:t>
      </w:r>
      <w:r w:rsidR="004725EC" w:rsidRPr="00E805F4">
        <w:rPr>
          <w:rStyle w:val="msoins0"/>
          <w:b/>
        </w:rPr>
        <w:t xml:space="preserve">кредитного риска </w:t>
      </w:r>
      <w:r w:rsidR="002D1BA4">
        <w:rPr>
          <w:rStyle w:val="msoins0"/>
          <w:b/>
        </w:rPr>
        <w:t>контрагентов</w:t>
      </w:r>
      <w:r w:rsidR="0028366A" w:rsidRPr="00364FA6">
        <w:rPr>
          <w:rStyle w:val="msoins0"/>
          <w:b/>
        </w:rPr>
        <w:t>.</w:t>
      </w:r>
    </w:p>
    <w:p w:rsidR="00040DCC" w:rsidRDefault="00462C00" w:rsidP="001218AC">
      <w:pPr>
        <w:numPr>
          <w:ilvl w:val="0"/>
          <w:numId w:val="9"/>
        </w:numPr>
        <w:tabs>
          <w:tab w:val="num" w:pos="0"/>
          <w:tab w:val="left" w:pos="1134"/>
        </w:tabs>
        <w:spacing w:before="240" w:after="120"/>
        <w:ind w:left="0" w:firstLine="567"/>
        <w:jc w:val="both"/>
        <w:rPr>
          <w:rStyle w:val="msoins0"/>
        </w:rPr>
      </w:pPr>
      <w:r w:rsidRPr="00E805F4">
        <w:rPr>
          <w:rStyle w:val="msoins0"/>
        </w:rPr>
        <w:t xml:space="preserve">Особенности индивидуальной оценки кредитного риска </w:t>
      </w:r>
      <w:r w:rsidR="002D1BA4">
        <w:rPr>
          <w:rStyle w:val="msoins0"/>
        </w:rPr>
        <w:t>контрагентов</w:t>
      </w:r>
      <w:r w:rsidR="00DF15B3">
        <w:rPr>
          <w:rStyle w:val="msoins0"/>
        </w:rPr>
        <w:t>, определенных п.</w:t>
      </w:r>
      <w:r w:rsidR="00B23AF0">
        <w:rPr>
          <w:rStyle w:val="msoins0"/>
        </w:rPr>
        <w:t>1.6</w:t>
      </w:r>
      <w:r w:rsidR="00DF15B3">
        <w:rPr>
          <w:rStyle w:val="msoins0"/>
        </w:rPr>
        <w:t xml:space="preserve">. </w:t>
      </w:r>
      <w:r w:rsidR="00DF15B3" w:rsidRPr="00E805F4">
        <w:rPr>
          <w:rStyle w:val="msoins0"/>
        </w:rPr>
        <w:t>настоящих М</w:t>
      </w:r>
      <w:r w:rsidR="00DF15B3">
        <w:rPr>
          <w:rStyle w:val="msoins0"/>
        </w:rPr>
        <w:t>етодических рекомендаций, устанавливаются</w:t>
      </w:r>
      <w:r w:rsidR="00840520">
        <w:rPr>
          <w:rStyle w:val="msoins0"/>
        </w:rPr>
        <w:t xml:space="preserve"> </w:t>
      </w:r>
      <w:r w:rsidR="00C41E12">
        <w:rPr>
          <w:rStyle w:val="msoins0"/>
        </w:rPr>
        <w:t xml:space="preserve">исходя из </w:t>
      </w:r>
      <w:r w:rsidR="00811681">
        <w:rPr>
          <w:rStyle w:val="msoins0"/>
        </w:rPr>
        <w:t xml:space="preserve">особенностей </w:t>
      </w:r>
      <w:r w:rsidR="00A1082B">
        <w:rPr>
          <w:rStyle w:val="msoins0"/>
        </w:rPr>
        <w:t xml:space="preserve">составления финансовой/бухгалтерской </w:t>
      </w:r>
      <w:r w:rsidR="00A1082B" w:rsidRPr="00E805F4">
        <w:rPr>
          <w:rStyle w:val="msoins0"/>
        </w:rPr>
        <w:t>отчетности</w:t>
      </w:r>
      <w:r w:rsidR="00A1082B">
        <w:rPr>
          <w:rStyle w:val="msoins0"/>
        </w:rPr>
        <w:t>,</w:t>
      </w:r>
      <w:r w:rsidR="00811681">
        <w:rPr>
          <w:rStyle w:val="msoins0"/>
        </w:rPr>
        <w:t xml:space="preserve"> </w:t>
      </w:r>
      <w:r w:rsidR="00A1082B">
        <w:rPr>
          <w:rStyle w:val="msoins0"/>
        </w:rPr>
        <w:t xml:space="preserve">сроков </w:t>
      </w:r>
      <w:r w:rsidR="00811681">
        <w:rPr>
          <w:rStyle w:val="msoins0"/>
        </w:rPr>
        <w:t>предоставления</w:t>
      </w:r>
      <w:r w:rsidR="00A1082B">
        <w:rPr>
          <w:rStyle w:val="msoins0"/>
        </w:rPr>
        <w:t xml:space="preserve"> отчетности</w:t>
      </w:r>
      <w:r w:rsidR="00811681">
        <w:rPr>
          <w:rStyle w:val="msoins0"/>
        </w:rPr>
        <w:t>,</w:t>
      </w:r>
      <w:r w:rsidR="00811681" w:rsidRPr="00C41E12">
        <w:rPr>
          <w:rStyle w:val="msoins0"/>
        </w:rPr>
        <w:t xml:space="preserve"> </w:t>
      </w:r>
      <w:r w:rsidR="00C41E12" w:rsidRPr="00E805F4">
        <w:rPr>
          <w:rStyle w:val="msoins0"/>
        </w:rPr>
        <w:t xml:space="preserve">отраслевой </w:t>
      </w:r>
      <w:r w:rsidR="00107D29">
        <w:rPr>
          <w:rStyle w:val="msoins0"/>
        </w:rPr>
        <w:t>специфики</w:t>
      </w:r>
      <w:r w:rsidR="00DF15B3">
        <w:rPr>
          <w:rStyle w:val="msoins0"/>
        </w:rPr>
        <w:t xml:space="preserve"> </w:t>
      </w:r>
      <w:r w:rsidR="00840520">
        <w:rPr>
          <w:rStyle w:val="msoins0"/>
        </w:rPr>
        <w:t xml:space="preserve">деятельности </w:t>
      </w:r>
      <w:r w:rsidR="00DF15B3">
        <w:rPr>
          <w:rStyle w:val="msoins0"/>
        </w:rPr>
        <w:t>контрагента</w:t>
      </w:r>
      <w:r w:rsidR="00EF1209">
        <w:rPr>
          <w:rStyle w:val="msoins0"/>
        </w:rPr>
        <w:t xml:space="preserve"> </w:t>
      </w:r>
      <w:r w:rsidR="00DF15B3">
        <w:rPr>
          <w:rStyle w:val="msoins0"/>
        </w:rPr>
        <w:t>и</w:t>
      </w:r>
      <w:r w:rsidR="00A1082B">
        <w:rPr>
          <w:rStyle w:val="msoins0"/>
        </w:rPr>
        <w:t xml:space="preserve"> особенностей</w:t>
      </w:r>
      <w:r w:rsidR="00C41E12">
        <w:rPr>
          <w:rStyle w:val="msoins0"/>
        </w:rPr>
        <w:t xml:space="preserve"> </w:t>
      </w:r>
      <w:r w:rsidR="00C41E12" w:rsidRPr="00E805F4">
        <w:rPr>
          <w:rStyle w:val="msoins0"/>
        </w:rPr>
        <w:t>регулирования деятельности</w:t>
      </w:r>
      <w:bookmarkStart w:id="15" w:name="_Ref300228208"/>
      <w:r w:rsidR="00DF15B3">
        <w:rPr>
          <w:rStyle w:val="msoins0"/>
        </w:rPr>
        <w:t xml:space="preserve"> со стороны органов надзора.</w:t>
      </w:r>
    </w:p>
    <w:p w:rsidR="005D6E16" w:rsidRPr="00E80E95" w:rsidRDefault="00271AB9" w:rsidP="00AA1971">
      <w:pPr>
        <w:numPr>
          <w:ilvl w:val="0"/>
          <w:numId w:val="9"/>
        </w:numPr>
        <w:tabs>
          <w:tab w:val="left" w:pos="588"/>
        </w:tabs>
        <w:spacing w:before="240" w:after="120"/>
        <w:ind w:left="14" w:firstLine="574"/>
        <w:jc w:val="both"/>
        <w:rPr>
          <w:rStyle w:val="msoins0"/>
          <w:b/>
        </w:rPr>
      </w:pPr>
      <w:r w:rsidRPr="00E80E95">
        <w:rPr>
          <w:rStyle w:val="msoins0"/>
          <w:b/>
          <w:i/>
          <w:u w:val="single"/>
        </w:rPr>
        <w:t>И</w:t>
      </w:r>
      <w:r w:rsidR="00156D26" w:rsidRPr="00E80E95">
        <w:rPr>
          <w:rStyle w:val="msoins0"/>
          <w:b/>
          <w:i/>
          <w:u w:val="single"/>
        </w:rPr>
        <w:t xml:space="preserve">ндивидуальная </w:t>
      </w:r>
      <w:r w:rsidR="004725EC" w:rsidRPr="00E80E95">
        <w:rPr>
          <w:rStyle w:val="msoins0"/>
          <w:b/>
          <w:i/>
          <w:u w:val="single"/>
        </w:rPr>
        <w:t xml:space="preserve">оценка кредитного риска </w:t>
      </w:r>
      <w:r w:rsidR="004E475A">
        <w:rPr>
          <w:rStyle w:val="msoins0"/>
          <w:b/>
          <w:i/>
          <w:u w:val="single"/>
        </w:rPr>
        <w:t>к</w:t>
      </w:r>
      <w:r w:rsidR="002A07E2">
        <w:rPr>
          <w:rStyle w:val="msoins0"/>
          <w:b/>
          <w:i/>
          <w:u w:val="single"/>
        </w:rPr>
        <w:t xml:space="preserve">редитных </w:t>
      </w:r>
      <w:r w:rsidR="00AA1971">
        <w:rPr>
          <w:rStyle w:val="msoins0"/>
          <w:b/>
          <w:i/>
          <w:u w:val="single"/>
        </w:rPr>
        <w:t xml:space="preserve">контрагентов </w:t>
      </w:r>
      <w:r w:rsidR="00AA1971" w:rsidRPr="00AA1971">
        <w:rPr>
          <w:rStyle w:val="msoins0"/>
          <w:b/>
          <w:i/>
          <w:u w:val="single"/>
        </w:rPr>
        <w:t>(за исключением администраций и суверенных заемщиков</w:t>
      </w:r>
      <w:r w:rsidR="00AA1971">
        <w:rPr>
          <w:rStyle w:val="msoins0"/>
          <w:b/>
          <w:i/>
          <w:u w:val="single"/>
        </w:rPr>
        <w:t>)</w:t>
      </w:r>
      <w:r w:rsidR="00087739">
        <w:rPr>
          <w:rStyle w:val="msoins0"/>
          <w:b/>
          <w:i/>
          <w:u w:val="single"/>
        </w:rPr>
        <w:t>.</w:t>
      </w:r>
      <w:bookmarkEnd w:id="15"/>
    </w:p>
    <w:p w:rsidR="002B27F5" w:rsidRPr="002B27F5" w:rsidRDefault="002B27F5" w:rsidP="002B27F5">
      <w:pPr>
        <w:pStyle w:val="af8"/>
        <w:numPr>
          <w:ilvl w:val="0"/>
          <w:numId w:val="21"/>
        </w:numPr>
        <w:tabs>
          <w:tab w:val="left" w:pos="1134"/>
        </w:tabs>
        <w:spacing w:before="120" w:after="120"/>
        <w:contextualSpacing w:val="0"/>
        <w:jc w:val="both"/>
        <w:rPr>
          <w:vanish/>
        </w:rPr>
      </w:pPr>
      <w:bookmarkStart w:id="16" w:name="_Ref300065578"/>
    </w:p>
    <w:p w:rsidR="002B27F5" w:rsidRPr="002B27F5" w:rsidRDefault="002B27F5" w:rsidP="002B27F5">
      <w:pPr>
        <w:pStyle w:val="af8"/>
        <w:numPr>
          <w:ilvl w:val="0"/>
          <w:numId w:val="21"/>
        </w:numPr>
        <w:tabs>
          <w:tab w:val="left" w:pos="1134"/>
        </w:tabs>
        <w:spacing w:before="120" w:after="120"/>
        <w:contextualSpacing w:val="0"/>
        <w:jc w:val="both"/>
        <w:rPr>
          <w:vanish/>
        </w:rPr>
      </w:pPr>
    </w:p>
    <w:p w:rsidR="002B27F5" w:rsidRPr="002B27F5" w:rsidRDefault="002B27F5" w:rsidP="002B27F5">
      <w:pPr>
        <w:pStyle w:val="af8"/>
        <w:numPr>
          <w:ilvl w:val="1"/>
          <w:numId w:val="21"/>
        </w:numPr>
        <w:tabs>
          <w:tab w:val="left" w:pos="1134"/>
        </w:tabs>
        <w:spacing w:before="120" w:after="120"/>
        <w:contextualSpacing w:val="0"/>
        <w:jc w:val="both"/>
        <w:rPr>
          <w:vanish/>
        </w:rPr>
      </w:pPr>
    </w:p>
    <w:p w:rsidR="002B27F5" w:rsidRPr="002B27F5" w:rsidRDefault="002B27F5" w:rsidP="002B27F5">
      <w:pPr>
        <w:pStyle w:val="af8"/>
        <w:numPr>
          <w:ilvl w:val="2"/>
          <w:numId w:val="21"/>
        </w:numPr>
        <w:tabs>
          <w:tab w:val="left" w:pos="1134"/>
        </w:tabs>
        <w:spacing w:before="120" w:after="120"/>
        <w:contextualSpacing w:val="0"/>
        <w:jc w:val="both"/>
        <w:rPr>
          <w:vanish/>
        </w:rPr>
      </w:pPr>
    </w:p>
    <w:p w:rsidR="002B27F5" w:rsidRPr="002B27F5" w:rsidRDefault="002B27F5" w:rsidP="002B27F5">
      <w:pPr>
        <w:pStyle w:val="af8"/>
        <w:numPr>
          <w:ilvl w:val="3"/>
          <w:numId w:val="21"/>
        </w:numPr>
        <w:tabs>
          <w:tab w:val="left" w:pos="1134"/>
        </w:tabs>
        <w:spacing w:before="120" w:after="120"/>
        <w:contextualSpacing w:val="0"/>
        <w:jc w:val="both"/>
        <w:rPr>
          <w:vanish/>
        </w:rPr>
      </w:pPr>
    </w:p>
    <w:p w:rsidR="00EF07C7" w:rsidRPr="00CD2D5B" w:rsidRDefault="00462C00" w:rsidP="003C38C3">
      <w:pPr>
        <w:numPr>
          <w:ilvl w:val="3"/>
          <w:numId w:val="21"/>
        </w:numPr>
        <w:tabs>
          <w:tab w:val="left" w:pos="1134"/>
        </w:tabs>
        <w:spacing w:before="120" w:after="40"/>
        <w:ind w:left="11" w:firstLine="556"/>
        <w:jc w:val="both"/>
        <w:rPr>
          <w:rStyle w:val="msoins0"/>
        </w:rPr>
      </w:pPr>
      <w:r w:rsidRPr="00CD2D5B">
        <w:t>Ф</w:t>
      </w:r>
      <w:r w:rsidR="00360805" w:rsidRPr="00CD2D5B">
        <w:t>инансово</w:t>
      </w:r>
      <w:r w:rsidRPr="00CD2D5B">
        <w:t>е</w:t>
      </w:r>
      <w:r w:rsidR="00360805" w:rsidRPr="00CD2D5B">
        <w:t xml:space="preserve"> положени</w:t>
      </w:r>
      <w:r w:rsidRPr="00CD2D5B">
        <w:t>е</w:t>
      </w:r>
      <w:r w:rsidR="00360805" w:rsidRPr="00CD2D5B">
        <w:t xml:space="preserve"> </w:t>
      </w:r>
      <w:r w:rsidR="00AA1971">
        <w:rPr>
          <w:rStyle w:val="msoins0"/>
        </w:rPr>
        <w:t>контрагентов</w:t>
      </w:r>
      <w:r w:rsidR="00622372" w:rsidRPr="00CD2D5B">
        <w:rPr>
          <w:rStyle w:val="msoins0"/>
        </w:rPr>
        <w:t>, как правило,</w:t>
      </w:r>
      <w:r w:rsidRPr="00CD2D5B">
        <w:rPr>
          <w:rStyle w:val="msoins0"/>
        </w:rPr>
        <w:t xml:space="preserve"> </w:t>
      </w:r>
      <w:r w:rsidR="006C30AB" w:rsidRPr="00CD2D5B">
        <w:rPr>
          <w:rStyle w:val="msoins0"/>
        </w:rPr>
        <w:t>по следующим направлениям:</w:t>
      </w:r>
      <w:bookmarkEnd w:id="16"/>
      <w:r w:rsidR="006C30AB" w:rsidRPr="00CD2D5B">
        <w:rPr>
          <w:rStyle w:val="msoins0"/>
        </w:rPr>
        <w:t xml:space="preserve"> </w:t>
      </w:r>
    </w:p>
    <w:p w:rsidR="00A1300B" w:rsidRDefault="00A1300B" w:rsidP="00A1300B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A1300B">
        <w:rPr>
          <w:rStyle w:val="msoins0"/>
        </w:rPr>
        <w:t xml:space="preserve">объем и динамика </w:t>
      </w:r>
      <w:r>
        <w:rPr>
          <w:rStyle w:val="msoins0"/>
        </w:rPr>
        <w:t>основных финансовых показателей</w:t>
      </w:r>
      <w:r w:rsidRPr="00A1300B">
        <w:rPr>
          <w:rStyle w:val="msoins0"/>
        </w:rPr>
        <w:t>;</w:t>
      </w:r>
    </w:p>
    <w:p w:rsidR="002A7A38" w:rsidRPr="00CD2D5B" w:rsidRDefault="002A7A38" w:rsidP="00F83EC2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CD2D5B">
        <w:rPr>
          <w:rStyle w:val="msoins0"/>
        </w:rPr>
        <w:t>достаточность собственных средств (капитала);</w:t>
      </w:r>
    </w:p>
    <w:p w:rsidR="002A7A38" w:rsidRPr="00CD2D5B" w:rsidRDefault="00360805" w:rsidP="00F83EC2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CD2D5B">
        <w:rPr>
          <w:rStyle w:val="msoins0"/>
        </w:rPr>
        <w:t xml:space="preserve">устойчивость </w:t>
      </w:r>
      <w:r w:rsidR="002A7A38" w:rsidRPr="00CD2D5B">
        <w:rPr>
          <w:rStyle w:val="msoins0"/>
        </w:rPr>
        <w:t>ликвидно</w:t>
      </w:r>
      <w:r w:rsidRPr="00CD2D5B">
        <w:rPr>
          <w:rStyle w:val="msoins0"/>
        </w:rPr>
        <w:t>й позиции</w:t>
      </w:r>
      <w:r w:rsidR="002A7A38" w:rsidRPr="00CD2D5B">
        <w:rPr>
          <w:rStyle w:val="msoins0"/>
        </w:rPr>
        <w:t>;</w:t>
      </w:r>
    </w:p>
    <w:p w:rsidR="002A7A38" w:rsidRPr="00CD2D5B" w:rsidRDefault="002A7A38" w:rsidP="00F83EC2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CD2D5B">
        <w:rPr>
          <w:rStyle w:val="msoins0"/>
        </w:rPr>
        <w:t xml:space="preserve">качество </w:t>
      </w:r>
      <w:r w:rsidR="009D1DBD">
        <w:rPr>
          <w:rStyle w:val="msoins0"/>
        </w:rPr>
        <w:t>активов</w:t>
      </w:r>
      <w:r w:rsidRPr="00CD2D5B">
        <w:rPr>
          <w:rStyle w:val="msoins0"/>
        </w:rPr>
        <w:t>;</w:t>
      </w:r>
    </w:p>
    <w:p w:rsidR="002A7A38" w:rsidRPr="00CD2D5B" w:rsidRDefault="00107D29" w:rsidP="00F83EC2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CD2D5B">
        <w:rPr>
          <w:rStyle w:val="msoins0"/>
        </w:rPr>
        <w:t>характеристика</w:t>
      </w:r>
      <w:r w:rsidR="002A7A38" w:rsidRPr="00CD2D5B">
        <w:rPr>
          <w:rStyle w:val="msoins0"/>
        </w:rPr>
        <w:t xml:space="preserve"> портфеля ценных бумаг</w:t>
      </w:r>
      <w:r w:rsidRPr="00CD2D5B">
        <w:rPr>
          <w:rStyle w:val="msoins0"/>
        </w:rPr>
        <w:t xml:space="preserve"> (</w:t>
      </w:r>
      <w:r w:rsidR="00276F7C" w:rsidRPr="00CD2D5B">
        <w:rPr>
          <w:rStyle w:val="msoins0"/>
        </w:rPr>
        <w:t>структура активов</w:t>
      </w:r>
      <w:r w:rsidRPr="00CD2D5B">
        <w:rPr>
          <w:rStyle w:val="msoins0"/>
        </w:rPr>
        <w:t>)</w:t>
      </w:r>
      <w:r w:rsidR="002A7A38" w:rsidRPr="00CD2D5B">
        <w:rPr>
          <w:rStyle w:val="msoins0"/>
        </w:rPr>
        <w:t xml:space="preserve">, </w:t>
      </w:r>
      <w:r w:rsidR="00360805" w:rsidRPr="00CD2D5B">
        <w:rPr>
          <w:rStyle w:val="msoins0"/>
        </w:rPr>
        <w:t xml:space="preserve">подверженность </w:t>
      </w:r>
      <w:r w:rsidR="002A7A38" w:rsidRPr="00CD2D5B">
        <w:rPr>
          <w:rStyle w:val="msoins0"/>
        </w:rPr>
        <w:t>рыночно</w:t>
      </w:r>
      <w:r w:rsidR="00737814" w:rsidRPr="00CD2D5B">
        <w:rPr>
          <w:rStyle w:val="msoins0"/>
        </w:rPr>
        <w:t>му</w:t>
      </w:r>
      <w:r w:rsidR="002A7A38" w:rsidRPr="00CD2D5B">
        <w:rPr>
          <w:rStyle w:val="msoins0"/>
        </w:rPr>
        <w:t xml:space="preserve"> риск</w:t>
      </w:r>
      <w:r w:rsidR="00737814" w:rsidRPr="00CD2D5B">
        <w:rPr>
          <w:rStyle w:val="msoins0"/>
        </w:rPr>
        <w:t>у</w:t>
      </w:r>
      <w:r w:rsidR="002A7A38" w:rsidRPr="00CD2D5B">
        <w:rPr>
          <w:rStyle w:val="msoins0"/>
        </w:rPr>
        <w:t>;</w:t>
      </w:r>
    </w:p>
    <w:p w:rsidR="002A7A38" w:rsidRPr="00CD2D5B" w:rsidRDefault="002A7A38" w:rsidP="00F83EC2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CD2D5B">
        <w:rPr>
          <w:rStyle w:val="msoins0"/>
        </w:rPr>
        <w:t xml:space="preserve">структура </w:t>
      </w:r>
      <w:r w:rsidR="005847F6" w:rsidRPr="00CD2D5B">
        <w:rPr>
          <w:rStyle w:val="msoins0"/>
        </w:rPr>
        <w:t>и диверсификация источников ресурсов, состав и стабильность клиентской базы</w:t>
      </w:r>
      <w:r w:rsidRPr="00CD2D5B">
        <w:rPr>
          <w:rStyle w:val="msoins0"/>
        </w:rPr>
        <w:t>;</w:t>
      </w:r>
    </w:p>
    <w:p w:rsidR="002A7A38" w:rsidRDefault="00737814" w:rsidP="00F83EC2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CD2D5B">
        <w:rPr>
          <w:rStyle w:val="msoins0"/>
        </w:rPr>
        <w:t xml:space="preserve">структура доходов, уровень процентной маржи, </w:t>
      </w:r>
      <w:r w:rsidR="002A7A38" w:rsidRPr="00CD2D5B">
        <w:rPr>
          <w:rStyle w:val="msoins0"/>
        </w:rPr>
        <w:t>рентабельность</w:t>
      </w:r>
      <w:r w:rsidRPr="00CD2D5B">
        <w:rPr>
          <w:rStyle w:val="msoins0"/>
        </w:rPr>
        <w:t xml:space="preserve"> деятельности</w:t>
      </w:r>
      <w:r w:rsidR="00575FEF">
        <w:rPr>
          <w:rStyle w:val="msoins0"/>
        </w:rPr>
        <w:t>;</w:t>
      </w:r>
    </w:p>
    <w:p w:rsidR="00575FEF" w:rsidRPr="00CD2D5B" w:rsidRDefault="00575FEF" w:rsidP="00F83EC2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>
        <w:rPr>
          <w:rStyle w:val="msoins0"/>
        </w:rPr>
        <w:t>длительность сотрудничества.</w:t>
      </w:r>
    </w:p>
    <w:p w:rsidR="002B27F5" w:rsidRPr="00CD2D5B" w:rsidRDefault="002B27F5" w:rsidP="002B27F5">
      <w:pPr>
        <w:pStyle w:val="af8"/>
        <w:numPr>
          <w:ilvl w:val="2"/>
          <w:numId w:val="21"/>
        </w:numPr>
        <w:tabs>
          <w:tab w:val="left" w:pos="1134"/>
        </w:tabs>
        <w:spacing w:before="120" w:after="120"/>
        <w:contextualSpacing w:val="0"/>
        <w:jc w:val="both"/>
        <w:rPr>
          <w:vanish/>
        </w:rPr>
      </w:pPr>
    </w:p>
    <w:p w:rsidR="002B27F5" w:rsidRPr="00CD2D5B" w:rsidRDefault="002B27F5" w:rsidP="002B27F5">
      <w:pPr>
        <w:pStyle w:val="af8"/>
        <w:numPr>
          <w:ilvl w:val="2"/>
          <w:numId w:val="21"/>
        </w:numPr>
        <w:tabs>
          <w:tab w:val="left" w:pos="1134"/>
        </w:tabs>
        <w:spacing w:before="120" w:after="120"/>
        <w:contextualSpacing w:val="0"/>
        <w:jc w:val="both"/>
        <w:rPr>
          <w:vanish/>
        </w:rPr>
      </w:pPr>
    </w:p>
    <w:p w:rsidR="002B27F5" w:rsidRPr="00CD2D5B" w:rsidRDefault="002B27F5" w:rsidP="002B27F5">
      <w:pPr>
        <w:pStyle w:val="af8"/>
        <w:numPr>
          <w:ilvl w:val="3"/>
          <w:numId w:val="21"/>
        </w:numPr>
        <w:tabs>
          <w:tab w:val="left" w:pos="1134"/>
        </w:tabs>
        <w:spacing w:before="120" w:after="120"/>
        <w:contextualSpacing w:val="0"/>
        <w:jc w:val="both"/>
        <w:rPr>
          <w:vanish/>
        </w:rPr>
      </w:pPr>
    </w:p>
    <w:p w:rsidR="006E32B5" w:rsidRDefault="003B78B1" w:rsidP="003C38C3">
      <w:pPr>
        <w:pStyle w:val="af0"/>
        <w:numPr>
          <w:ilvl w:val="2"/>
          <w:numId w:val="47"/>
        </w:numPr>
        <w:tabs>
          <w:tab w:val="left" w:pos="1134"/>
        </w:tabs>
        <w:spacing w:before="120" w:after="120"/>
        <w:ind w:left="11" w:firstLine="561"/>
        <w:jc w:val="both"/>
        <w:rPr>
          <w:sz w:val="24"/>
          <w:szCs w:val="24"/>
        </w:rPr>
      </w:pPr>
      <w:r w:rsidRPr="006037CA">
        <w:rPr>
          <w:sz w:val="24"/>
          <w:szCs w:val="24"/>
        </w:rPr>
        <w:t>Расчет</w:t>
      </w:r>
      <w:r w:rsidR="00176E28" w:rsidRPr="006037CA">
        <w:rPr>
          <w:sz w:val="24"/>
          <w:szCs w:val="24"/>
        </w:rPr>
        <w:t xml:space="preserve"> показателей оценки финансового положения </w:t>
      </w:r>
      <w:r w:rsidR="006E32B5">
        <w:rPr>
          <w:sz w:val="24"/>
          <w:szCs w:val="24"/>
        </w:rPr>
        <w:t>контрагентов проводится по данным:</w:t>
      </w:r>
    </w:p>
    <w:p w:rsidR="006E32B5" w:rsidRPr="006E32B5" w:rsidRDefault="006E32B5" w:rsidP="006E32B5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6E32B5">
        <w:rPr>
          <w:rStyle w:val="msoins0"/>
        </w:rPr>
        <w:t>бухгалтерской отчетности, порядок формирования и раскрытия которой утверждены для юридических лиц – резидентов РФ законодательством РФ;</w:t>
      </w:r>
    </w:p>
    <w:p w:rsidR="006E32B5" w:rsidRPr="006E32B5" w:rsidRDefault="006E32B5" w:rsidP="006E32B5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proofErr w:type="spellStart"/>
      <w:r w:rsidRPr="006E32B5">
        <w:rPr>
          <w:rStyle w:val="msoins0"/>
        </w:rPr>
        <w:t>аудированной</w:t>
      </w:r>
      <w:proofErr w:type="spellEnd"/>
      <w:r w:rsidRPr="006E32B5">
        <w:rPr>
          <w:rStyle w:val="msoins0"/>
        </w:rPr>
        <w:t xml:space="preserve"> консолидированной отчетности по МСФО</w:t>
      </w:r>
      <w:r>
        <w:rPr>
          <w:rStyle w:val="msoins0"/>
        </w:rPr>
        <w:t xml:space="preserve"> </w:t>
      </w:r>
      <w:r w:rsidRPr="00276F7C">
        <w:t xml:space="preserve">или </w:t>
      </w:r>
      <w:r w:rsidRPr="00276F7C">
        <w:rPr>
          <w:lang w:val="en-US"/>
        </w:rPr>
        <w:t>US</w:t>
      </w:r>
      <w:r w:rsidRPr="003C38C3">
        <w:t xml:space="preserve"> </w:t>
      </w:r>
      <w:r w:rsidRPr="00276F7C">
        <w:rPr>
          <w:lang w:val="en-US"/>
        </w:rPr>
        <w:t>GAAP</w:t>
      </w:r>
      <w:r w:rsidRPr="006E32B5">
        <w:rPr>
          <w:rStyle w:val="msoins0"/>
        </w:rPr>
        <w:t>;</w:t>
      </w:r>
    </w:p>
    <w:p w:rsidR="006E32B5" w:rsidRDefault="006E32B5" w:rsidP="006E32B5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6E32B5">
        <w:rPr>
          <w:rStyle w:val="msoins0"/>
        </w:rPr>
        <w:t>иной финансовой отчетности, предоставляемой в надзорные органы;</w:t>
      </w:r>
    </w:p>
    <w:p w:rsidR="006E32B5" w:rsidRPr="006E32B5" w:rsidRDefault="006E32B5" w:rsidP="006E32B5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  <w:rPr>
          <w:rStyle w:val="msoins0"/>
        </w:rPr>
      </w:pPr>
      <w:r w:rsidRPr="006E32B5">
        <w:rPr>
          <w:rStyle w:val="msoins0"/>
        </w:rPr>
        <w:t xml:space="preserve">финансовой отчетности, перечень которой установлен внутренними документами Группы </w:t>
      </w:r>
      <w:r w:rsidR="00AA1971" w:rsidRPr="006037CA">
        <w:rPr>
          <w:rStyle w:val="msoins0"/>
        </w:rPr>
        <w:t>«Московская Биржа»</w:t>
      </w:r>
      <w:r w:rsidR="00AA1971">
        <w:rPr>
          <w:rStyle w:val="msoins0"/>
        </w:rPr>
        <w:t>.</w:t>
      </w:r>
    </w:p>
    <w:p w:rsidR="00622372" w:rsidRPr="00276F7C" w:rsidRDefault="00AA1971" w:rsidP="00AA1971">
      <w:pPr>
        <w:numPr>
          <w:ilvl w:val="0"/>
          <w:numId w:val="7"/>
        </w:numPr>
        <w:tabs>
          <w:tab w:val="clear" w:pos="170"/>
          <w:tab w:val="num" w:pos="567"/>
          <w:tab w:val="left" w:pos="600"/>
        </w:tabs>
        <w:ind w:left="567" w:hanging="567"/>
        <w:jc w:val="both"/>
      </w:pPr>
      <w:r w:rsidRPr="00C41705">
        <w:rPr>
          <w:rStyle w:val="msoins0"/>
        </w:rPr>
        <w:t>ин</w:t>
      </w:r>
      <w:r>
        <w:rPr>
          <w:rStyle w:val="msoins0"/>
        </w:rPr>
        <w:t>ой</w:t>
      </w:r>
      <w:r w:rsidRPr="00C41705">
        <w:rPr>
          <w:rStyle w:val="msoins0"/>
        </w:rPr>
        <w:t xml:space="preserve"> доступн</w:t>
      </w:r>
      <w:r>
        <w:rPr>
          <w:rStyle w:val="msoins0"/>
        </w:rPr>
        <w:t>ой</w:t>
      </w:r>
      <w:r w:rsidRPr="00C41705">
        <w:rPr>
          <w:rStyle w:val="msoins0"/>
        </w:rPr>
        <w:t xml:space="preserve"> информаци</w:t>
      </w:r>
      <w:r>
        <w:rPr>
          <w:rStyle w:val="msoins0"/>
        </w:rPr>
        <w:t>и</w:t>
      </w:r>
      <w:r w:rsidR="00622372" w:rsidRPr="00276F7C">
        <w:t>.</w:t>
      </w:r>
    </w:p>
    <w:p w:rsidR="006B037F" w:rsidRPr="006037CA" w:rsidRDefault="008E1053" w:rsidP="003C38C3">
      <w:pPr>
        <w:pStyle w:val="af0"/>
        <w:numPr>
          <w:ilvl w:val="2"/>
          <w:numId w:val="47"/>
        </w:numPr>
        <w:tabs>
          <w:tab w:val="left" w:pos="1134"/>
        </w:tabs>
        <w:spacing w:before="120" w:after="120"/>
        <w:ind w:left="11" w:firstLine="561"/>
        <w:jc w:val="both"/>
        <w:rPr>
          <w:sz w:val="24"/>
          <w:szCs w:val="24"/>
        </w:rPr>
      </w:pPr>
      <w:r w:rsidRPr="006037CA">
        <w:rPr>
          <w:rStyle w:val="msoins0"/>
          <w:sz w:val="24"/>
          <w:szCs w:val="24"/>
        </w:rPr>
        <w:t xml:space="preserve">При </w:t>
      </w:r>
      <w:r w:rsidRPr="006037CA">
        <w:rPr>
          <w:sz w:val="24"/>
          <w:szCs w:val="24"/>
        </w:rPr>
        <w:t>анализе</w:t>
      </w:r>
      <w:r w:rsidRPr="006037CA">
        <w:rPr>
          <w:rStyle w:val="msoins0"/>
          <w:sz w:val="24"/>
          <w:szCs w:val="24"/>
        </w:rPr>
        <w:t xml:space="preserve"> </w:t>
      </w:r>
      <w:r w:rsidRPr="006037CA">
        <w:rPr>
          <w:sz w:val="24"/>
          <w:szCs w:val="24"/>
        </w:rPr>
        <w:t xml:space="preserve">финансового положения учитывается </w:t>
      </w:r>
      <w:r w:rsidR="006B037F" w:rsidRPr="006037CA">
        <w:rPr>
          <w:sz w:val="24"/>
          <w:szCs w:val="24"/>
        </w:rPr>
        <w:t>также следующая информация:</w:t>
      </w:r>
    </w:p>
    <w:p w:rsidR="008E1053" w:rsidRPr="006037CA" w:rsidRDefault="006B037F" w:rsidP="003C38C3">
      <w:pPr>
        <w:numPr>
          <w:ilvl w:val="0"/>
          <w:numId w:val="7"/>
        </w:numPr>
        <w:tabs>
          <w:tab w:val="clear" w:pos="170"/>
          <w:tab w:val="left" w:pos="602"/>
        </w:tabs>
        <w:ind w:left="567" w:hanging="567"/>
        <w:jc w:val="both"/>
      </w:pPr>
      <w:r w:rsidRPr="006037CA">
        <w:t xml:space="preserve">позиция на рынке (место в </w:t>
      </w:r>
      <w:proofErr w:type="spellStart"/>
      <w:r w:rsidRPr="006037CA">
        <w:t>рэнкигах</w:t>
      </w:r>
      <w:proofErr w:type="spellEnd"/>
      <w:r w:rsidR="00384989" w:rsidRPr="006037CA">
        <w:t xml:space="preserve"> по активам/капиталу/</w:t>
      </w:r>
      <w:r w:rsidR="00B82298" w:rsidRPr="006037CA">
        <w:t>выручке/</w:t>
      </w:r>
      <w:r w:rsidR="00384989" w:rsidRPr="006037CA">
        <w:t>прибыли</w:t>
      </w:r>
      <w:r w:rsidRPr="006037CA">
        <w:t>);</w:t>
      </w:r>
    </w:p>
    <w:p w:rsidR="006B037F" w:rsidRPr="006037CA" w:rsidRDefault="00ED191F" w:rsidP="003C38C3">
      <w:pPr>
        <w:numPr>
          <w:ilvl w:val="0"/>
          <w:numId w:val="7"/>
        </w:numPr>
        <w:tabs>
          <w:tab w:val="clear" w:pos="170"/>
          <w:tab w:val="left" w:pos="602"/>
        </w:tabs>
        <w:ind w:left="567" w:hanging="567"/>
        <w:jc w:val="both"/>
        <w:rPr>
          <w:rStyle w:val="msoins0"/>
        </w:rPr>
      </w:pPr>
      <w:r w:rsidRPr="006037CA">
        <w:rPr>
          <w:rStyle w:val="msoins0"/>
        </w:rPr>
        <w:t>уровень международных кредитных рейтингов;</w:t>
      </w:r>
    </w:p>
    <w:p w:rsidR="00ED191F" w:rsidRPr="006037CA" w:rsidRDefault="00ED191F" w:rsidP="003C38C3">
      <w:pPr>
        <w:numPr>
          <w:ilvl w:val="0"/>
          <w:numId w:val="7"/>
        </w:numPr>
        <w:tabs>
          <w:tab w:val="clear" w:pos="170"/>
          <w:tab w:val="left" w:pos="602"/>
        </w:tabs>
        <w:ind w:left="567" w:hanging="567"/>
        <w:jc w:val="both"/>
        <w:rPr>
          <w:rStyle w:val="msoins0"/>
        </w:rPr>
      </w:pPr>
      <w:r w:rsidRPr="006037CA">
        <w:rPr>
          <w:rStyle w:val="msoins0"/>
        </w:rPr>
        <w:t xml:space="preserve">структура акционеров / возможность поддержки акционеров. </w:t>
      </w:r>
    </w:p>
    <w:p w:rsidR="00314558" w:rsidRPr="006037CA" w:rsidRDefault="00314558" w:rsidP="003C38C3">
      <w:pPr>
        <w:pStyle w:val="af0"/>
        <w:numPr>
          <w:ilvl w:val="2"/>
          <w:numId w:val="47"/>
        </w:numPr>
        <w:tabs>
          <w:tab w:val="left" w:pos="1134"/>
        </w:tabs>
        <w:spacing w:before="120" w:after="120"/>
        <w:ind w:left="11" w:firstLine="561"/>
        <w:jc w:val="both"/>
        <w:rPr>
          <w:rStyle w:val="msoins0"/>
          <w:sz w:val="24"/>
          <w:szCs w:val="24"/>
        </w:rPr>
      </w:pPr>
      <w:r w:rsidRPr="006037CA">
        <w:rPr>
          <w:rStyle w:val="msoins0"/>
          <w:sz w:val="24"/>
          <w:szCs w:val="24"/>
        </w:rPr>
        <w:t xml:space="preserve">В целях индивидуальной оценки кредитного риска используется также иная, в </w:t>
      </w:r>
      <w:proofErr w:type="spellStart"/>
      <w:r w:rsidRPr="006037CA">
        <w:rPr>
          <w:rStyle w:val="msoins0"/>
          <w:sz w:val="24"/>
          <w:szCs w:val="24"/>
        </w:rPr>
        <w:t>т.ч</w:t>
      </w:r>
      <w:proofErr w:type="spellEnd"/>
      <w:r w:rsidRPr="006037CA">
        <w:rPr>
          <w:rStyle w:val="msoins0"/>
          <w:sz w:val="24"/>
          <w:szCs w:val="24"/>
        </w:rPr>
        <w:t xml:space="preserve">. нефинансовая информация, </w:t>
      </w:r>
      <w:r w:rsidR="00A1300B" w:rsidRPr="007930B5">
        <w:rPr>
          <w:rStyle w:val="msoins0"/>
          <w:sz w:val="24"/>
          <w:szCs w:val="24"/>
        </w:rPr>
        <w:t>характеризующая развитие бизнеса, изменения в составе собственников, данные о возможных слияниях/ поглощениях, касающиеся данного контрагента, а также иная информация, существенная для оценки кредитного риска, приведенная в п. 3.</w:t>
      </w:r>
      <w:r w:rsidR="00A1300B">
        <w:rPr>
          <w:rStyle w:val="msoins0"/>
          <w:sz w:val="24"/>
          <w:szCs w:val="24"/>
        </w:rPr>
        <w:t>7</w:t>
      </w:r>
      <w:r w:rsidR="00A1300B" w:rsidRPr="007930B5">
        <w:rPr>
          <w:rStyle w:val="msoins0"/>
          <w:sz w:val="24"/>
          <w:szCs w:val="24"/>
        </w:rPr>
        <w:t xml:space="preserve"> настоящих Методических рекомендаций</w:t>
      </w:r>
      <w:r w:rsidRPr="006037CA">
        <w:rPr>
          <w:rStyle w:val="msoins0"/>
          <w:sz w:val="24"/>
          <w:szCs w:val="24"/>
        </w:rPr>
        <w:t>.</w:t>
      </w:r>
    </w:p>
    <w:p w:rsidR="008A5B1D" w:rsidRPr="003C38C3" w:rsidRDefault="00FC3CBE" w:rsidP="00575FEF">
      <w:pPr>
        <w:pStyle w:val="af0"/>
        <w:numPr>
          <w:ilvl w:val="2"/>
          <w:numId w:val="47"/>
        </w:numPr>
        <w:tabs>
          <w:tab w:val="left" w:pos="1134"/>
        </w:tabs>
        <w:spacing w:before="120" w:after="120"/>
        <w:ind w:left="11" w:firstLine="561"/>
        <w:jc w:val="both"/>
        <w:rPr>
          <w:rStyle w:val="msoins0"/>
          <w:sz w:val="24"/>
          <w:szCs w:val="24"/>
        </w:rPr>
      </w:pPr>
      <w:r w:rsidRPr="00CB40BF">
        <w:rPr>
          <w:rStyle w:val="msoins0"/>
          <w:sz w:val="24"/>
          <w:szCs w:val="24"/>
        </w:rPr>
        <w:lastRenderedPageBreak/>
        <w:t xml:space="preserve">Индивидуальная оценка кредитного риска </w:t>
      </w:r>
      <w:r w:rsidRPr="00CB40BF">
        <w:rPr>
          <w:rStyle w:val="msoins0"/>
          <w:sz w:val="24"/>
          <w:szCs w:val="24"/>
          <w:lang w:val="en-US"/>
        </w:rPr>
        <w:t>SPV</w:t>
      </w:r>
      <w:r w:rsidRPr="00CB40BF">
        <w:rPr>
          <w:rStyle w:val="msoins0"/>
          <w:sz w:val="24"/>
          <w:szCs w:val="24"/>
        </w:rPr>
        <w:t xml:space="preserve"> проводится на основании пока</w:t>
      </w:r>
      <w:r w:rsidR="006D0D25" w:rsidRPr="00CB40BF">
        <w:rPr>
          <w:rStyle w:val="msoins0"/>
          <w:sz w:val="24"/>
          <w:szCs w:val="24"/>
        </w:rPr>
        <w:t>зателей ее материнской компании</w:t>
      </w:r>
      <w:r w:rsidR="00C759BF" w:rsidRPr="00CB40BF">
        <w:rPr>
          <w:rStyle w:val="msoins0"/>
          <w:sz w:val="24"/>
          <w:szCs w:val="24"/>
        </w:rPr>
        <w:t xml:space="preserve"> либо компании, выступающей гарантом по ценным бумагам </w:t>
      </w:r>
      <w:r w:rsidR="00C759BF" w:rsidRPr="00CB40BF">
        <w:rPr>
          <w:rStyle w:val="msoins0"/>
          <w:sz w:val="24"/>
          <w:szCs w:val="24"/>
          <w:lang w:val="en-US"/>
        </w:rPr>
        <w:t>SPV</w:t>
      </w:r>
      <w:r w:rsidR="00C759BF" w:rsidRPr="00CB40BF">
        <w:rPr>
          <w:rStyle w:val="msoins0"/>
          <w:sz w:val="24"/>
          <w:szCs w:val="24"/>
        </w:rPr>
        <w:t>,</w:t>
      </w:r>
      <w:r w:rsidR="006D0D25" w:rsidRPr="00CB40BF">
        <w:rPr>
          <w:rStyle w:val="msoins0"/>
          <w:sz w:val="24"/>
          <w:szCs w:val="24"/>
        </w:rPr>
        <w:t xml:space="preserve"> в соответствии с критериями, определенными настоящими Методическими </w:t>
      </w:r>
      <w:r w:rsidR="006D0D25" w:rsidRPr="003C38C3">
        <w:rPr>
          <w:rStyle w:val="msoins0"/>
          <w:spacing w:val="-2"/>
          <w:sz w:val="24"/>
          <w:szCs w:val="24"/>
        </w:rPr>
        <w:t xml:space="preserve">рекомендациями для проведения индивидуальной оценки кредитного риска </w:t>
      </w:r>
      <w:r w:rsidR="002D1BA4" w:rsidRPr="00CB40BF">
        <w:rPr>
          <w:rStyle w:val="msoins0"/>
          <w:spacing w:val="-2"/>
          <w:sz w:val="24"/>
          <w:szCs w:val="24"/>
        </w:rPr>
        <w:t>контрагентов</w:t>
      </w:r>
      <w:r w:rsidR="006D0D25" w:rsidRPr="003C38C3">
        <w:rPr>
          <w:rStyle w:val="msoins0"/>
          <w:spacing w:val="-2"/>
          <w:sz w:val="24"/>
          <w:szCs w:val="24"/>
        </w:rPr>
        <w:t>.</w:t>
      </w:r>
    </w:p>
    <w:p w:rsidR="00D02F9B" w:rsidRPr="007930B5" w:rsidRDefault="00D02F9B" w:rsidP="003C38C3">
      <w:pPr>
        <w:tabs>
          <w:tab w:val="left" w:pos="600"/>
        </w:tabs>
        <w:ind w:left="567"/>
        <w:jc w:val="both"/>
        <w:rPr>
          <w:rStyle w:val="msoins0"/>
          <w:sz w:val="4"/>
          <w:szCs w:val="4"/>
        </w:rPr>
      </w:pPr>
    </w:p>
    <w:p w:rsidR="00A1300B" w:rsidRDefault="00A1300B" w:rsidP="0049594A">
      <w:pPr>
        <w:tabs>
          <w:tab w:val="num" w:pos="0"/>
          <w:tab w:val="left" w:pos="1134"/>
          <w:tab w:val="left" w:pos="1200"/>
          <w:tab w:val="num" w:pos="3504"/>
        </w:tabs>
        <w:spacing w:before="120" w:after="120"/>
        <w:ind w:firstLine="567"/>
        <w:jc w:val="both"/>
      </w:pPr>
      <w:bookmarkStart w:id="17" w:name="_Ref298251108"/>
    </w:p>
    <w:bookmarkEnd w:id="17"/>
    <w:p w:rsidR="00BE2DCA" w:rsidRPr="00DB64A9" w:rsidRDefault="0042763B" w:rsidP="00575FEF">
      <w:pPr>
        <w:numPr>
          <w:ilvl w:val="0"/>
          <w:numId w:val="9"/>
        </w:numPr>
        <w:tabs>
          <w:tab w:val="left" w:pos="588"/>
        </w:tabs>
        <w:spacing w:before="240" w:after="120"/>
        <w:ind w:left="14" w:firstLine="574"/>
        <w:jc w:val="both"/>
        <w:rPr>
          <w:rStyle w:val="msoins0"/>
          <w:b/>
          <w:i/>
          <w:u w:val="single"/>
        </w:rPr>
      </w:pPr>
      <w:r w:rsidRPr="00DB64A9">
        <w:rPr>
          <w:rStyle w:val="msoins0"/>
          <w:b/>
          <w:i/>
          <w:u w:val="single"/>
        </w:rPr>
        <w:t>Индивидуальная о</w:t>
      </w:r>
      <w:r w:rsidR="00BE2DCA" w:rsidRPr="00DB64A9">
        <w:rPr>
          <w:rStyle w:val="msoins0"/>
          <w:b/>
          <w:i/>
          <w:u w:val="single"/>
        </w:rPr>
        <w:t>ценка кредитно</w:t>
      </w:r>
      <w:r w:rsidR="004B5A72" w:rsidRPr="00DB64A9">
        <w:rPr>
          <w:rStyle w:val="msoins0"/>
          <w:b/>
          <w:i/>
          <w:u w:val="single"/>
        </w:rPr>
        <w:t xml:space="preserve">го риска </w:t>
      </w:r>
      <w:r w:rsidR="00FE63FB">
        <w:rPr>
          <w:rStyle w:val="msoins0"/>
          <w:b/>
          <w:i/>
          <w:u w:val="single"/>
        </w:rPr>
        <w:t>администраций</w:t>
      </w:r>
      <w:r w:rsidR="006033FE" w:rsidRPr="00DB64A9">
        <w:rPr>
          <w:rStyle w:val="msoins0"/>
          <w:b/>
          <w:i/>
          <w:u w:val="single"/>
        </w:rPr>
        <w:t xml:space="preserve"> и суверенных заемщиков</w:t>
      </w:r>
      <w:r w:rsidR="00A9390E" w:rsidRPr="00DB64A9">
        <w:rPr>
          <w:rStyle w:val="msoins0"/>
          <w:b/>
          <w:i/>
          <w:u w:val="single"/>
        </w:rPr>
        <w:t>.</w:t>
      </w:r>
    </w:p>
    <w:p w:rsidR="000D58B6" w:rsidRPr="000D58B6" w:rsidRDefault="000D58B6" w:rsidP="000D58B6">
      <w:pPr>
        <w:pStyle w:val="af8"/>
        <w:numPr>
          <w:ilvl w:val="0"/>
          <w:numId w:val="14"/>
        </w:numPr>
        <w:tabs>
          <w:tab w:val="left" w:pos="1134"/>
        </w:tabs>
        <w:spacing w:before="240" w:after="120"/>
        <w:contextualSpacing w:val="0"/>
        <w:jc w:val="both"/>
        <w:rPr>
          <w:vanish/>
        </w:rPr>
      </w:pPr>
    </w:p>
    <w:p w:rsidR="000D58B6" w:rsidRPr="000D58B6" w:rsidRDefault="000D58B6" w:rsidP="000D58B6">
      <w:pPr>
        <w:pStyle w:val="af8"/>
        <w:numPr>
          <w:ilvl w:val="0"/>
          <w:numId w:val="14"/>
        </w:numPr>
        <w:tabs>
          <w:tab w:val="left" w:pos="1134"/>
        </w:tabs>
        <w:spacing w:before="240" w:after="120"/>
        <w:contextualSpacing w:val="0"/>
        <w:jc w:val="both"/>
        <w:rPr>
          <w:vanish/>
        </w:rPr>
      </w:pPr>
    </w:p>
    <w:p w:rsidR="000D58B6" w:rsidRPr="000D58B6" w:rsidRDefault="000D58B6" w:rsidP="000D58B6">
      <w:pPr>
        <w:pStyle w:val="af8"/>
        <w:numPr>
          <w:ilvl w:val="1"/>
          <w:numId w:val="14"/>
        </w:numPr>
        <w:tabs>
          <w:tab w:val="left" w:pos="1134"/>
        </w:tabs>
        <w:spacing w:before="240" w:after="120"/>
        <w:contextualSpacing w:val="0"/>
        <w:jc w:val="both"/>
        <w:rPr>
          <w:vanish/>
        </w:rPr>
      </w:pPr>
    </w:p>
    <w:p w:rsidR="000D58B6" w:rsidRPr="00575FEF" w:rsidRDefault="0093176C" w:rsidP="00575FEF">
      <w:pPr>
        <w:pStyle w:val="af0"/>
        <w:numPr>
          <w:ilvl w:val="2"/>
          <w:numId w:val="49"/>
        </w:numPr>
        <w:tabs>
          <w:tab w:val="left" w:pos="1134"/>
        </w:tabs>
        <w:spacing w:before="120"/>
        <w:ind w:left="0" w:firstLine="539"/>
        <w:jc w:val="both"/>
        <w:rPr>
          <w:sz w:val="24"/>
          <w:szCs w:val="24"/>
        </w:rPr>
      </w:pPr>
      <w:r w:rsidRPr="00575FEF">
        <w:rPr>
          <w:sz w:val="24"/>
          <w:szCs w:val="24"/>
        </w:rPr>
        <w:t xml:space="preserve"> </w:t>
      </w:r>
      <w:r w:rsidR="000D58B6" w:rsidRPr="00575FEF">
        <w:rPr>
          <w:sz w:val="24"/>
          <w:szCs w:val="24"/>
        </w:rPr>
        <w:t xml:space="preserve">Финансовое положение </w:t>
      </w:r>
      <w:r w:rsidR="00C22E6B" w:rsidRPr="00575FEF">
        <w:rPr>
          <w:rStyle w:val="msoins0"/>
          <w:sz w:val="24"/>
          <w:szCs w:val="24"/>
        </w:rPr>
        <w:t>администраций и суверенных заемщиков</w:t>
      </w:r>
      <w:r w:rsidR="000D58B6" w:rsidRPr="00575FEF">
        <w:rPr>
          <w:rStyle w:val="msoins0"/>
          <w:sz w:val="24"/>
          <w:szCs w:val="24"/>
        </w:rPr>
        <w:t xml:space="preserve"> оценивается, как правило, по следующим направлениям:</w:t>
      </w:r>
    </w:p>
    <w:p w:rsidR="000D58B6" w:rsidRDefault="000D58B6" w:rsidP="000D58B6">
      <w:pPr>
        <w:numPr>
          <w:ilvl w:val="0"/>
          <w:numId w:val="4"/>
        </w:numPr>
        <w:tabs>
          <w:tab w:val="num" w:pos="0"/>
          <w:tab w:val="left" w:pos="600"/>
        </w:tabs>
        <w:ind w:left="601" w:hanging="567"/>
        <w:jc w:val="both"/>
        <w:rPr>
          <w:rStyle w:val="msoins0"/>
        </w:rPr>
      </w:pPr>
      <w:r w:rsidRPr="00E805F4">
        <w:rPr>
          <w:rStyle w:val="msoins0"/>
        </w:rPr>
        <w:t xml:space="preserve">исполнение бюджета за </w:t>
      </w:r>
      <w:r>
        <w:rPr>
          <w:rStyle w:val="msoins0"/>
        </w:rPr>
        <w:t>отчетный период</w:t>
      </w:r>
      <w:r w:rsidRPr="00E805F4">
        <w:rPr>
          <w:rStyle w:val="msoins0"/>
        </w:rPr>
        <w:t>;</w:t>
      </w:r>
    </w:p>
    <w:p w:rsidR="000D58B6" w:rsidRPr="00E805F4" w:rsidRDefault="000D58B6" w:rsidP="000D58B6">
      <w:pPr>
        <w:numPr>
          <w:ilvl w:val="0"/>
          <w:numId w:val="4"/>
        </w:numPr>
        <w:tabs>
          <w:tab w:val="num" w:pos="0"/>
          <w:tab w:val="left" w:pos="600"/>
        </w:tabs>
        <w:ind w:left="601" w:hanging="567"/>
        <w:jc w:val="both"/>
        <w:rPr>
          <w:rStyle w:val="msoins0"/>
        </w:rPr>
      </w:pPr>
      <w:r w:rsidRPr="00E805F4">
        <w:rPr>
          <w:rStyle w:val="msoins0"/>
        </w:rPr>
        <w:t>уровень бюджетного дефицита;</w:t>
      </w:r>
    </w:p>
    <w:p w:rsidR="000D58B6" w:rsidRPr="00E805F4" w:rsidRDefault="000D58B6" w:rsidP="000D58B6">
      <w:pPr>
        <w:numPr>
          <w:ilvl w:val="0"/>
          <w:numId w:val="4"/>
        </w:numPr>
        <w:tabs>
          <w:tab w:val="num" w:pos="0"/>
          <w:tab w:val="left" w:pos="600"/>
        </w:tabs>
        <w:ind w:left="601" w:hanging="567"/>
        <w:jc w:val="both"/>
        <w:rPr>
          <w:rStyle w:val="msoins0"/>
        </w:rPr>
      </w:pPr>
      <w:r>
        <w:rPr>
          <w:rStyle w:val="msoins0"/>
        </w:rPr>
        <w:t>долговая нагрузка;</w:t>
      </w:r>
    </w:p>
    <w:p w:rsidR="000D58B6" w:rsidRPr="00E805F4" w:rsidRDefault="000D58B6" w:rsidP="000D58B6">
      <w:pPr>
        <w:numPr>
          <w:ilvl w:val="0"/>
          <w:numId w:val="4"/>
        </w:numPr>
        <w:tabs>
          <w:tab w:val="num" w:pos="0"/>
          <w:tab w:val="left" w:pos="600"/>
        </w:tabs>
        <w:ind w:left="601" w:hanging="567"/>
        <w:jc w:val="both"/>
        <w:rPr>
          <w:rStyle w:val="msoins0"/>
        </w:rPr>
      </w:pPr>
      <w:r w:rsidRPr="00E805F4">
        <w:rPr>
          <w:rStyle w:val="msoins0"/>
        </w:rPr>
        <w:t>обслуживание долга;</w:t>
      </w:r>
    </w:p>
    <w:p w:rsidR="000D58B6" w:rsidRDefault="000D58B6" w:rsidP="000D58B6">
      <w:pPr>
        <w:numPr>
          <w:ilvl w:val="0"/>
          <w:numId w:val="4"/>
        </w:numPr>
        <w:tabs>
          <w:tab w:val="num" w:pos="0"/>
          <w:tab w:val="left" w:pos="600"/>
        </w:tabs>
        <w:ind w:left="601" w:hanging="567"/>
        <w:jc w:val="both"/>
        <w:rPr>
          <w:rStyle w:val="msoins0"/>
        </w:rPr>
      </w:pPr>
      <w:r w:rsidRPr="00E805F4">
        <w:rPr>
          <w:rStyle w:val="msoins0"/>
        </w:rPr>
        <w:t>уровень дотаций.</w:t>
      </w:r>
    </w:p>
    <w:p w:rsidR="000D58B6" w:rsidRPr="00575FEF" w:rsidRDefault="000D58B6" w:rsidP="00575FEF">
      <w:pPr>
        <w:pStyle w:val="af0"/>
        <w:numPr>
          <w:ilvl w:val="2"/>
          <w:numId w:val="49"/>
        </w:numPr>
        <w:tabs>
          <w:tab w:val="left" w:pos="1134"/>
        </w:tabs>
        <w:spacing w:before="120"/>
        <w:ind w:left="0" w:firstLine="539"/>
        <w:jc w:val="both"/>
        <w:rPr>
          <w:sz w:val="24"/>
          <w:szCs w:val="24"/>
        </w:rPr>
      </w:pPr>
      <w:r w:rsidRPr="00575FEF">
        <w:rPr>
          <w:sz w:val="24"/>
          <w:szCs w:val="24"/>
        </w:rPr>
        <w:t xml:space="preserve">Расчет показателей оценки финансового положения </w:t>
      </w:r>
      <w:r w:rsidR="00C22E6B" w:rsidRPr="00575FEF">
        <w:rPr>
          <w:sz w:val="24"/>
          <w:szCs w:val="24"/>
        </w:rPr>
        <w:t>администраций и суверенных заемщиков</w:t>
      </w:r>
      <w:r w:rsidRPr="00575FEF">
        <w:rPr>
          <w:sz w:val="24"/>
          <w:szCs w:val="24"/>
        </w:rPr>
        <w:t xml:space="preserve"> проводится по данным отчетности об исполнении бюджета контрагентов</w:t>
      </w:r>
      <w:r w:rsidR="00C22E6B" w:rsidRPr="00575FEF">
        <w:rPr>
          <w:sz w:val="24"/>
          <w:szCs w:val="24"/>
        </w:rPr>
        <w:t xml:space="preserve"> </w:t>
      </w:r>
      <w:r w:rsidRPr="00575FEF">
        <w:rPr>
          <w:sz w:val="24"/>
          <w:szCs w:val="24"/>
        </w:rPr>
        <w:t>данной группы, порядок формирования и раскрытия которой утверждены законодательством РФ</w:t>
      </w:r>
      <w:r w:rsidR="00AC0843" w:rsidRPr="00575FEF">
        <w:rPr>
          <w:sz w:val="24"/>
          <w:szCs w:val="24"/>
        </w:rPr>
        <w:t xml:space="preserve"> или иного государства</w:t>
      </w:r>
      <w:r w:rsidRPr="00575FEF">
        <w:rPr>
          <w:sz w:val="24"/>
          <w:szCs w:val="24"/>
        </w:rPr>
        <w:t>.</w:t>
      </w:r>
    </w:p>
    <w:p w:rsidR="000D58B6" w:rsidRPr="00575FEF" w:rsidRDefault="0093176C" w:rsidP="00575FEF">
      <w:pPr>
        <w:pStyle w:val="af0"/>
        <w:numPr>
          <w:ilvl w:val="2"/>
          <w:numId w:val="49"/>
        </w:numPr>
        <w:tabs>
          <w:tab w:val="left" w:pos="1134"/>
        </w:tabs>
        <w:spacing w:before="120"/>
        <w:ind w:left="0" w:firstLine="539"/>
        <w:jc w:val="both"/>
        <w:rPr>
          <w:sz w:val="24"/>
          <w:szCs w:val="24"/>
        </w:rPr>
      </w:pPr>
      <w:r w:rsidRPr="00575FEF">
        <w:rPr>
          <w:sz w:val="24"/>
          <w:szCs w:val="24"/>
        </w:rPr>
        <w:t xml:space="preserve"> </w:t>
      </w:r>
      <w:r w:rsidR="000D58B6" w:rsidRPr="00575FEF">
        <w:rPr>
          <w:sz w:val="24"/>
          <w:szCs w:val="24"/>
        </w:rPr>
        <w:t xml:space="preserve">В целях проведении индивидуальной оценки кредитного риска </w:t>
      </w:r>
      <w:r w:rsidR="00A6261E" w:rsidRPr="00575FEF">
        <w:rPr>
          <w:sz w:val="24"/>
          <w:szCs w:val="24"/>
        </w:rPr>
        <w:t>администраций и суверенных заемщиков</w:t>
      </w:r>
      <w:r w:rsidR="000D58B6" w:rsidRPr="00575FEF">
        <w:rPr>
          <w:sz w:val="24"/>
          <w:szCs w:val="24"/>
        </w:rPr>
        <w:t xml:space="preserve"> используются также нефинансовые показатели, которые могут оказать значительное влияние на оценку уровня принимаемого кредитного риска:</w:t>
      </w:r>
    </w:p>
    <w:p w:rsidR="000D58B6" w:rsidRDefault="000D58B6" w:rsidP="000D58B6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jc w:val="both"/>
        <w:rPr>
          <w:rStyle w:val="msoins0"/>
        </w:rPr>
      </w:pPr>
      <w:r>
        <w:t>уровень присвоенных внешних рейтингов;</w:t>
      </w:r>
    </w:p>
    <w:p w:rsidR="000D58B6" w:rsidRPr="00C539F6" w:rsidRDefault="000D58B6" w:rsidP="000D58B6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jc w:val="both"/>
      </w:pPr>
      <w:r w:rsidRPr="00C539F6">
        <w:t xml:space="preserve">история размещения ценных бумаг </w:t>
      </w:r>
      <w:r w:rsidR="00A6261E">
        <w:rPr>
          <w:rStyle w:val="msoins0"/>
        </w:rPr>
        <w:t>администраци</w:t>
      </w:r>
      <w:r w:rsidR="00E849A2">
        <w:rPr>
          <w:rStyle w:val="msoins0"/>
        </w:rPr>
        <w:t>й</w:t>
      </w:r>
      <w:r w:rsidR="00A6261E">
        <w:rPr>
          <w:rStyle w:val="msoins0"/>
        </w:rPr>
        <w:t xml:space="preserve"> и суверенных заемщиков</w:t>
      </w:r>
      <w:r w:rsidRPr="00C539F6">
        <w:rPr>
          <w:rStyle w:val="msoins0"/>
        </w:rPr>
        <w:t xml:space="preserve"> </w:t>
      </w:r>
      <w:r w:rsidRPr="00C539F6">
        <w:t>на публичном рынке;</w:t>
      </w:r>
    </w:p>
    <w:p w:rsidR="000D58B6" w:rsidRDefault="000D58B6" w:rsidP="000D58B6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jc w:val="both"/>
        <w:rPr>
          <w:rStyle w:val="msoins0"/>
        </w:rPr>
      </w:pPr>
      <w:r w:rsidRPr="00C539F6">
        <w:t>при наличии информации приводятся существенные факторы, характеризующие экономическую обстановку в регионе</w:t>
      </w:r>
      <w:r w:rsidRPr="00C539F6">
        <w:rPr>
          <w:rStyle w:val="msoins0"/>
        </w:rPr>
        <w:t xml:space="preserve"> (в том числе об ослаблении финансового потенциала регионального или местного бюджета, снижении собственной доходной базы, сокращении дотаций, неоптимальной структуре расходов, об изменении/</w:t>
      </w:r>
      <w:r w:rsidR="00DB0E14" w:rsidRPr="00DB0E14">
        <w:rPr>
          <w:rStyle w:val="msoins0"/>
        </w:rPr>
        <w:t xml:space="preserve"> </w:t>
      </w:r>
      <w:r w:rsidRPr="00C539F6">
        <w:rPr>
          <w:rStyle w:val="msoins0"/>
        </w:rPr>
        <w:t>переносе сроков выплат по долговым обязательствам</w:t>
      </w:r>
      <w:r w:rsidR="0093176C">
        <w:rPr>
          <w:rStyle w:val="msoins0"/>
        </w:rPr>
        <w:t xml:space="preserve">, наращивании дефицита бюджета </w:t>
      </w:r>
      <w:r w:rsidR="00AC0843">
        <w:rPr>
          <w:rStyle w:val="msoins0"/>
        </w:rPr>
        <w:t>и т.п.);</w:t>
      </w:r>
    </w:p>
    <w:p w:rsidR="00A32E8F" w:rsidRDefault="000D58B6" w:rsidP="00575FEF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jc w:val="both"/>
        <w:rPr>
          <w:rStyle w:val="msoins0"/>
        </w:rPr>
      </w:pPr>
      <w:r>
        <w:rPr>
          <w:rStyle w:val="msoins0"/>
        </w:rPr>
        <w:t>иная информация, предусмотренная п.</w:t>
      </w:r>
      <w:r w:rsidR="00A6261E">
        <w:rPr>
          <w:rStyle w:val="msoins0"/>
        </w:rPr>
        <w:t xml:space="preserve"> 3.</w:t>
      </w:r>
      <w:r w:rsidR="00575FEF">
        <w:rPr>
          <w:rStyle w:val="msoins0"/>
        </w:rPr>
        <w:t>7</w:t>
      </w:r>
      <w:r>
        <w:rPr>
          <w:rStyle w:val="msoins0"/>
        </w:rPr>
        <w:t xml:space="preserve"> настоящих Методических рекомендаций.</w:t>
      </w:r>
      <w:r w:rsidR="00A32E8F" w:rsidRPr="00BA65B1">
        <w:rPr>
          <w:rStyle w:val="msoins0"/>
        </w:rPr>
        <w:t xml:space="preserve"> </w:t>
      </w:r>
    </w:p>
    <w:p w:rsidR="00756556" w:rsidRPr="009B6450" w:rsidRDefault="00756556" w:rsidP="00756556">
      <w:pPr>
        <w:tabs>
          <w:tab w:val="left" w:pos="600"/>
        </w:tabs>
        <w:ind w:left="567"/>
        <w:jc w:val="both"/>
        <w:rPr>
          <w:rStyle w:val="msoins0"/>
          <w:sz w:val="4"/>
          <w:szCs w:val="4"/>
        </w:rPr>
      </w:pPr>
    </w:p>
    <w:p w:rsidR="001B3014" w:rsidRPr="001B3014" w:rsidRDefault="005D0B16" w:rsidP="00EE59C6">
      <w:pPr>
        <w:numPr>
          <w:ilvl w:val="0"/>
          <w:numId w:val="24"/>
        </w:numPr>
        <w:spacing w:before="120" w:after="120"/>
        <w:jc w:val="center"/>
        <w:rPr>
          <w:b/>
        </w:rPr>
      </w:pPr>
      <w:r w:rsidRPr="005D23C8">
        <w:rPr>
          <w:b/>
        </w:rPr>
        <w:t xml:space="preserve">Оценка </w:t>
      </w:r>
      <w:r w:rsidRPr="00B52AED">
        <w:rPr>
          <w:b/>
        </w:rPr>
        <w:t xml:space="preserve">рисков </w:t>
      </w:r>
      <w:r w:rsidR="004C728B">
        <w:rPr>
          <w:b/>
        </w:rPr>
        <w:t>финансовых инструментов, формирующих</w:t>
      </w:r>
      <w:r w:rsidR="001B3014">
        <w:rPr>
          <w:b/>
        </w:rPr>
        <w:t xml:space="preserve">             </w:t>
      </w:r>
      <w:r w:rsidR="004C728B" w:rsidRPr="001B3014">
        <w:rPr>
          <w:b/>
        </w:rPr>
        <w:t>инвестиционные активы</w:t>
      </w:r>
    </w:p>
    <w:p w:rsidR="001B3014" w:rsidRDefault="001B3014" w:rsidP="003C38C3">
      <w:pPr>
        <w:numPr>
          <w:ilvl w:val="1"/>
          <w:numId w:val="24"/>
        </w:numPr>
        <w:tabs>
          <w:tab w:val="clear" w:pos="832"/>
          <w:tab w:val="num" w:pos="0"/>
          <w:tab w:val="left" w:pos="1134"/>
        </w:tabs>
        <w:spacing w:before="120" w:after="120"/>
        <w:ind w:left="0" w:firstLine="567"/>
        <w:jc w:val="both"/>
      </w:pPr>
      <w:r w:rsidRPr="003C38C3">
        <w:t>Для</w:t>
      </w:r>
      <w:r>
        <w:t xml:space="preserve"> целей настоящих Методических рекомендаций </w:t>
      </w:r>
      <w:r w:rsidRPr="009458FD">
        <w:t>оценка</w:t>
      </w:r>
      <w:r>
        <w:t xml:space="preserve"> рисков финансовых инструментов</w:t>
      </w:r>
      <w:r w:rsidR="00DF6E9D">
        <w:t xml:space="preserve"> </w:t>
      </w:r>
      <w:r w:rsidR="00C24181">
        <w:t>контрагентов</w:t>
      </w:r>
      <w:r>
        <w:t xml:space="preserve"> </w:t>
      </w:r>
      <w:r w:rsidR="00DF6E9D">
        <w:t>включает</w:t>
      </w:r>
      <w:r>
        <w:t xml:space="preserve"> оценку риска рыночной ликвидности и ценового риска по к</w:t>
      </w:r>
      <w:r w:rsidR="007244EF">
        <w:t>аждому из выпусков ценных бумаг</w:t>
      </w:r>
      <w:r>
        <w:t>.</w:t>
      </w:r>
    </w:p>
    <w:p w:rsidR="001B3014" w:rsidRPr="003C38C3" w:rsidRDefault="001B3014" w:rsidP="00AF7114">
      <w:pPr>
        <w:numPr>
          <w:ilvl w:val="1"/>
          <w:numId w:val="24"/>
        </w:numPr>
        <w:tabs>
          <w:tab w:val="clear" w:pos="832"/>
          <w:tab w:val="left" w:pos="1134"/>
        </w:tabs>
        <w:spacing w:before="240" w:after="120"/>
        <w:ind w:left="0" w:firstLine="567"/>
        <w:jc w:val="both"/>
      </w:pPr>
      <w:r w:rsidRPr="003C38C3">
        <w:t>Подходы к оценке риска рыночной ликвидности.</w:t>
      </w:r>
    </w:p>
    <w:p w:rsidR="001B3014" w:rsidRDefault="001B3014" w:rsidP="009E4158">
      <w:pPr>
        <w:pStyle w:val="3"/>
        <w:numPr>
          <w:ilvl w:val="0"/>
          <w:numId w:val="0"/>
        </w:numPr>
        <w:tabs>
          <w:tab w:val="left" w:pos="480"/>
        </w:tabs>
        <w:spacing w:before="120" w:after="120"/>
        <w:ind w:firstLine="567"/>
      </w:pPr>
      <w:r>
        <w:t xml:space="preserve">В зависимости от наличия информации по торгам ценными бумагами в целях определения риска рыночной ликвидности ценные бумаги делятся на: </w:t>
      </w:r>
    </w:p>
    <w:p w:rsidR="009E4158" w:rsidRDefault="004239B8" w:rsidP="00AF7114">
      <w:pPr>
        <w:numPr>
          <w:ilvl w:val="0"/>
          <w:numId w:val="25"/>
        </w:numPr>
        <w:tabs>
          <w:tab w:val="clear" w:pos="1146"/>
          <w:tab w:val="num" w:pos="567"/>
        </w:tabs>
        <w:spacing w:before="120" w:after="120"/>
        <w:ind w:left="567" w:hanging="425"/>
        <w:jc w:val="both"/>
      </w:pPr>
      <w:r>
        <w:t>котируемые</w:t>
      </w:r>
      <w:r w:rsidR="001B3014">
        <w:t xml:space="preserve"> - ценные бумаги, по которым имеются источники информации по торгам</w:t>
      </w:r>
      <w:r w:rsidR="001B3014" w:rsidRPr="002258DF">
        <w:t xml:space="preserve"> </w:t>
      </w:r>
      <w:r w:rsidR="001B3014">
        <w:t>оцениваемых выпусков;</w:t>
      </w:r>
    </w:p>
    <w:p w:rsidR="001B3014" w:rsidRDefault="004239B8" w:rsidP="00AF7114">
      <w:pPr>
        <w:numPr>
          <w:ilvl w:val="0"/>
          <w:numId w:val="25"/>
        </w:numPr>
        <w:tabs>
          <w:tab w:val="clear" w:pos="1146"/>
          <w:tab w:val="num" w:pos="567"/>
        </w:tabs>
        <w:spacing w:before="120" w:after="120"/>
        <w:ind w:left="567" w:hanging="425"/>
        <w:jc w:val="both"/>
      </w:pPr>
      <w:proofErr w:type="spellStart"/>
      <w:r>
        <w:lastRenderedPageBreak/>
        <w:t>некотриуемые</w:t>
      </w:r>
      <w:proofErr w:type="spellEnd"/>
      <w:r w:rsidR="001B3014">
        <w:t xml:space="preserve"> - ценные бумаги, по которым отсутствуют</w:t>
      </w:r>
      <w:r>
        <w:t xml:space="preserve"> источники информации по торгам</w:t>
      </w:r>
      <w:r w:rsidR="001B3014">
        <w:t>.</w:t>
      </w:r>
    </w:p>
    <w:p w:rsidR="009E4158" w:rsidRDefault="009708E0" w:rsidP="00AF7114">
      <w:pPr>
        <w:pStyle w:val="3"/>
        <w:numPr>
          <w:ilvl w:val="2"/>
          <w:numId w:val="24"/>
        </w:numPr>
        <w:tabs>
          <w:tab w:val="clear" w:pos="1304"/>
          <w:tab w:val="left" w:pos="567"/>
          <w:tab w:val="num" w:pos="1134"/>
        </w:tabs>
        <w:spacing w:before="120" w:after="120"/>
        <w:ind w:left="0" w:firstLine="567"/>
      </w:pPr>
      <w:r>
        <w:t xml:space="preserve"> </w:t>
      </w:r>
      <w:r w:rsidR="001B3014">
        <w:t xml:space="preserve">По </w:t>
      </w:r>
      <w:r w:rsidR="004239B8">
        <w:t>котируемым ценным бумагам</w:t>
      </w:r>
      <w:r w:rsidR="001B3014">
        <w:t xml:space="preserve"> в расчет риска рыночной ликвидности принимаются сделки, заключаемые в основном режиме торгов и в режиме переговорных сделок (по государственным ценным бумагам - сделки в основном режиме торгов и внесистемные сделки).</w:t>
      </w:r>
    </w:p>
    <w:p w:rsidR="009E4158" w:rsidRDefault="001B3014" w:rsidP="004239B8">
      <w:pPr>
        <w:pStyle w:val="3"/>
        <w:numPr>
          <w:ilvl w:val="2"/>
          <w:numId w:val="24"/>
        </w:numPr>
        <w:tabs>
          <w:tab w:val="clear" w:pos="1304"/>
          <w:tab w:val="left" w:pos="567"/>
          <w:tab w:val="num" w:pos="1134"/>
        </w:tabs>
        <w:spacing w:before="120" w:after="120"/>
        <w:ind w:left="0" w:firstLine="567"/>
      </w:pPr>
      <w:r>
        <w:t>Уровень риска рыночной ликвидности оценивается</w:t>
      </w:r>
      <w:r w:rsidR="00310230">
        <w:t xml:space="preserve"> </w:t>
      </w:r>
      <w:r>
        <w:t>исходя из показателя частоты торгов.</w:t>
      </w:r>
    </w:p>
    <w:p w:rsidR="001B3014" w:rsidRDefault="009708E0" w:rsidP="00AF7114">
      <w:pPr>
        <w:pStyle w:val="3"/>
        <w:numPr>
          <w:ilvl w:val="2"/>
          <w:numId w:val="24"/>
        </w:numPr>
        <w:tabs>
          <w:tab w:val="clear" w:pos="1304"/>
          <w:tab w:val="left" w:pos="567"/>
          <w:tab w:val="num" w:pos="1134"/>
        </w:tabs>
        <w:spacing w:before="120" w:after="120"/>
        <w:ind w:left="0" w:firstLine="567"/>
      </w:pPr>
      <w:r>
        <w:t xml:space="preserve"> </w:t>
      </w:r>
      <w:r w:rsidR="001B3014">
        <w:t>Показатель частоты торгов</w:t>
      </w:r>
      <w:r w:rsidR="001B3014" w:rsidRPr="00836D42">
        <w:t xml:space="preserve"> </w:t>
      </w:r>
      <w:r w:rsidR="001B3014">
        <w:t>за анализируемый период (ЧТ) рассчитывается по следующей формуле:</w:t>
      </w:r>
    </w:p>
    <w:p w:rsidR="001B3014" w:rsidRDefault="001B3014" w:rsidP="001B3014">
      <w:pPr>
        <w:pStyle w:val="3"/>
        <w:numPr>
          <w:ilvl w:val="0"/>
          <w:numId w:val="0"/>
        </w:numPr>
        <w:tabs>
          <w:tab w:val="left" w:pos="1200"/>
        </w:tabs>
        <w:spacing w:before="120" w:after="120"/>
        <w:ind w:left="238"/>
      </w:pPr>
      <w:r>
        <w:tab/>
      </w:r>
      <w:r>
        <w:tab/>
      </w:r>
      <w:r>
        <w:tab/>
        <w:t xml:space="preserve">ЧТ </w:t>
      </w:r>
      <w:proofErr w:type="gramStart"/>
      <w:r>
        <w:t xml:space="preserve">=  </w:t>
      </w:r>
      <w:r w:rsidRPr="00CE5179">
        <w:rPr>
          <w:position w:val="-32"/>
        </w:rPr>
        <w:object w:dxaOrig="639" w:dyaOrig="700" w14:anchorId="7DC8E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6pt" o:ole="">
            <v:imagedata r:id="rId8" o:title=""/>
          </v:shape>
          <o:OLEObject Type="Embed" ProgID="Equation.3" ShapeID="_x0000_i1025" DrawAspect="Content" ObjectID="_1549110089" r:id="rId9"/>
        </w:object>
      </w:r>
      <w:r>
        <w:t>,</w:t>
      </w:r>
      <w:proofErr w:type="gramEnd"/>
      <w:r>
        <w:t xml:space="preserve">   где</w:t>
      </w:r>
    </w:p>
    <w:p w:rsidR="001B3014" w:rsidRPr="00CE5179" w:rsidRDefault="001B3014" w:rsidP="009E4158">
      <w:pPr>
        <w:pStyle w:val="3"/>
        <w:numPr>
          <w:ilvl w:val="0"/>
          <w:numId w:val="0"/>
        </w:numPr>
        <w:tabs>
          <w:tab w:val="left" w:pos="0"/>
        </w:tabs>
        <w:spacing w:before="120" w:after="120"/>
      </w:pPr>
      <w:proofErr w:type="spellStart"/>
      <w:r w:rsidRPr="00CE5179">
        <w:rPr>
          <w:i/>
        </w:rPr>
        <w:t>Тд</w:t>
      </w:r>
      <w:proofErr w:type="spellEnd"/>
      <w:r w:rsidRPr="00A921BD">
        <w:t xml:space="preserve"> - </w:t>
      </w:r>
      <w:r>
        <w:t>количество торговых дней, в кото</w:t>
      </w:r>
      <w:r w:rsidR="009E4158">
        <w:t xml:space="preserve">рые с ценными бумагами данного </w:t>
      </w:r>
      <w:r w:rsidR="00AB76CA">
        <w:t>контрагента</w:t>
      </w:r>
      <w:r>
        <w:t xml:space="preserve"> заключались сделки</w:t>
      </w:r>
      <w:r w:rsidR="009E4158">
        <w:t>,</w:t>
      </w:r>
    </w:p>
    <w:p w:rsidR="001B3014" w:rsidRDefault="001B3014" w:rsidP="009E4158">
      <w:pPr>
        <w:pStyle w:val="3"/>
        <w:numPr>
          <w:ilvl w:val="0"/>
          <w:numId w:val="0"/>
        </w:numPr>
        <w:tabs>
          <w:tab w:val="left" w:pos="0"/>
        </w:tabs>
        <w:spacing w:before="120" w:after="120"/>
      </w:pPr>
      <w:r w:rsidRPr="00CE5179">
        <w:rPr>
          <w:i/>
          <w:lang w:val="en-US"/>
        </w:rPr>
        <w:t>ΣT</w:t>
      </w:r>
      <w:r w:rsidRPr="00CE5179">
        <w:rPr>
          <w:i/>
        </w:rPr>
        <w:t>д</w:t>
      </w:r>
      <w:r>
        <w:t xml:space="preserve"> </w:t>
      </w:r>
      <w:r w:rsidRPr="00CE5179">
        <w:t xml:space="preserve">- </w:t>
      </w:r>
      <w:r>
        <w:t>общее число торгов</w:t>
      </w:r>
      <w:r w:rsidR="009E4158">
        <w:t>ых дней в анализируемом периоде.</w:t>
      </w:r>
    </w:p>
    <w:p w:rsidR="00273531" w:rsidRDefault="001B3014" w:rsidP="003C38C3">
      <w:pPr>
        <w:pStyle w:val="3"/>
        <w:numPr>
          <w:ilvl w:val="2"/>
          <w:numId w:val="24"/>
        </w:numPr>
        <w:tabs>
          <w:tab w:val="clear" w:pos="1304"/>
          <w:tab w:val="left" w:pos="0"/>
          <w:tab w:val="left" w:pos="480"/>
          <w:tab w:val="num" w:pos="1134"/>
        </w:tabs>
        <w:spacing w:before="240" w:after="120"/>
        <w:ind w:left="0" w:firstLine="567"/>
      </w:pPr>
      <w:r>
        <w:t xml:space="preserve">По </w:t>
      </w:r>
      <w:proofErr w:type="spellStart"/>
      <w:r w:rsidR="004239B8">
        <w:t>некотируемым</w:t>
      </w:r>
      <w:proofErr w:type="spellEnd"/>
      <w:r w:rsidR="004239B8">
        <w:t xml:space="preserve"> </w:t>
      </w:r>
      <w:r w:rsidR="003940DF">
        <w:t xml:space="preserve">ценным </w:t>
      </w:r>
      <w:r>
        <w:t xml:space="preserve">бумагам </w:t>
      </w:r>
      <w:r w:rsidR="004239B8">
        <w:t>а</w:t>
      </w:r>
      <w:r>
        <w:t>нализ</w:t>
      </w:r>
      <w:r w:rsidR="004239B8">
        <w:t xml:space="preserve"> </w:t>
      </w:r>
      <w:r w:rsidR="004239B8" w:rsidRPr="003C38C3">
        <w:t>риска рыночной ликвидности</w:t>
      </w:r>
      <w:r w:rsidR="004239B8">
        <w:t xml:space="preserve"> может</w:t>
      </w:r>
      <w:r>
        <w:t xml:space="preserve"> проводит</w:t>
      </w:r>
      <w:r w:rsidR="004239B8">
        <w:t>ь</w:t>
      </w:r>
      <w:r>
        <w:t xml:space="preserve">ся по объему котировок на покупку, выставленных дилерами, информация о которых содержится в информационной системе </w:t>
      </w:r>
      <w:r>
        <w:rPr>
          <w:lang w:val="en-US"/>
        </w:rPr>
        <w:t>Bloomberg</w:t>
      </w:r>
      <w:r w:rsidR="00273531">
        <w:t xml:space="preserve"> на текущую дату.</w:t>
      </w:r>
    </w:p>
    <w:p w:rsidR="001B3014" w:rsidRPr="003C38C3" w:rsidRDefault="001B3014" w:rsidP="00C05222">
      <w:pPr>
        <w:numPr>
          <w:ilvl w:val="1"/>
          <w:numId w:val="24"/>
        </w:numPr>
        <w:tabs>
          <w:tab w:val="clear" w:pos="832"/>
          <w:tab w:val="num" w:pos="0"/>
          <w:tab w:val="left" w:pos="1134"/>
        </w:tabs>
        <w:spacing w:before="240" w:after="120"/>
        <w:ind w:left="0" w:firstLine="567"/>
        <w:jc w:val="both"/>
      </w:pPr>
      <w:r w:rsidRPr="003C38C3">
        <w:t>Оценка ценового риска</w:t>
      </w:r>
    </w:p>
    <w:p w:rsidR="003A5090" w:rsidRPr="003A5090" w:rsidRDefault="00323977" w:rsidP="003C38C3">
      <w:pPr>
        <w:pStyle w:val="3"/>
        <w:numPr>
          <w:ilvl w:val="2"/>
          <w:numId w:val="24"/>
        </w:numPr>
        <w:tabs>
          <w:tab w:val="clear" w:pos="1304"/>
          <w:tab w:val="left" w:pos="0"/>
          <w:tab w:val="left" w:pos="480"/>
          <w:tab w:val="num" w:pos="1134"/>
        </w:tabs>
        <w:spacing w:before="120" w:after="120"/>
        <w:ind w:left="0" w:firstLine="567"/>
      </w:pPr>
      <w:r>
        <w:t xml:space="preserve"> </w:t>
      </w:r>
      <w:r w:rsidR="001B3014" w:rsidRPr="003A5090">
        <w:t>Ценовой ри</w:t>
      </w:r>
      <w:r w:rsidR="003940DF">
        <w:t xml:space="preserve">ск по ценным бумагам </w:t>
      </w:r>
      <w:r w:rsidR="00552F84">
        <w:t>контрагента</w:t>
      </w:r>
      <w:r w:rsidR="001B3014" w:rsidRPr="003A5090">
        <w:t xml:space="preserve"> оценивается на основе модиф</w:t>
      </w:r>
      <w:r w:rsidR="00AC0843">
        <w:t xml:space="preserve">ицированной </w:t>
      </w:r>
      <w:proofErr w:type="spellStart"/>
      <w:r w:rsidR="00AC0843">
        <w:t>дюрации</w:t>
      </w:r>
      <w:proofErr w:type="spellEnd"/>
      <w:r w:rsidR="00AC0843">
        <w:t xml:space="preserve"> этих бумаг</w:t>
      </w:r>
      <w:r w:rsidR="00C05222">
        <w:t>.</w:t>
      </w:r>
    </w:p>
    <w:p w:rsidR="003A5090" w:rsidRDefault="00C05222" w:rsidP="003C38C3">
      <w:pPr>
        <w:pStyle w:val="3"/>
        <w:numPr>
          <w:ilvl w:val="2"/>
          <w:numId w:val="24"/>
        </w:numPr>
        <w:tabs>
          <w:tab w:val="clear" w:pos="1304"/>
          <w:tab w:val="left" w:pos="0"/>
          <w:tab w:val="left" w:pos="480"/>
          <w:tab w:val="num" w:pos="1134"/>
        </w:tabs>
        <w:spacing w:before="240" w:after="120"/>
        <w:ind w:left="0" w:firstLine="567"/>
      </w:pPr>
      <w:r>
        <w:t xml:space="preserve"> </w:t>
      </w:r>
      <w:r w:rsidR="001B3014">
        <w:t xml:space="preserve">Для </w:t>
      </w:r>
      <w:r w:rsidR="003940DF">
        <w:t xml:space="preserve">ценных </w:t>
      </w:r>
      <w:r w:rsidR="001B3014">
        <w:t xml:space="preserve">бумаг, по которым предусмотрена оферта, модифицированная </w:t>
      </w:r>
      <w:proofErr w:type="spellStart"/>
      <w:r w:rsidR="001B3014">
        <w:t>дюрация</w:t>
      </w:r>
      <w:proofErr w:type="spellEnd"/>
      <w:r w:rsidR="001B3014">
        <w:t xml:space="preserve"> рассчитывается по дате оферты.</w:t>
      </w:r>
    </w:p>
    <w:p w:rsidR="001B3014" w:rsidRDefault="001B3014" w:rsidP="003C38C3">
      <w:pPr>
        <w:pStyle w:val="3"/>
        <w:numPr>
          <w:ilvl w:val="2"/>
          <w:numId w:val="24"/>
        </w:numPr>
        <w:tabs>
          <w:tab w:val="clear" w:pos="1304"/>
          <w:tab w:val="left" w:pos="0"/>
          <w:tab w:val="left" w:pos="480"/>
          <w:tab w:val="num" w:pos="1134"/>
        </w:tabs>
        <w:spacing w:before="240" w:after="120"/>
        <w:ind w:left="0" w:firstLine="567"/>
      </w:pPr>
      <w:r>
        <w:t xml:space="preserve">Для </w:t>
      </w:r>
      <w:r w:rsidR="003940DF">
        <w:t xml:space="preserve">ценных </w:t>
      </w:r>
      <w:r>
        <w:t>бумаг с плавающ</w:t>
      </w:r>
      <w:r w:rsidR="00AC0843">
        <w:t>ей ставкой</w:t>
      </w:r>
      <w:r>
        <w:t xml:space="preserve"> купон</w:t>
      </w:r>
      <w:r w:rsidR="00AC0843">
        <w:t>а</w:t>
      </w:r>
      <w:r>
        <w:t xml:space="preserve"> (т.е. купоном, размер которого привязан к рыночному индикатору, например, ставке </w:t>
      </w:r>
      <w:r w:rsidRPr="003A5090">
        <w:rPr>
          <w:noProof/>
          <w:lang w:val="en-US"/>
        </w:rPr>
        <w:t>MosPrime</w:t>
      </w:r>
      <w:r>
        <w:t xml:space="preserve">), вместо модифицированной </w:t>
      </w:r>
      <w:proofErr w:type="spellStart"/>
      <w:r>
        <w:t>дюрации</w:t>
      </w:r>
      <w:proofErr w:type="spellEnd"/>
      <w:r>
        <w:t xml:space="preserve"> используется срок до ближайшего купона.</w:t>
      </w:r>
    </w:p>
    <w:p w:rsidR="004677F5" w:rsidRDefault="001B3014" w:rsidP="00AC0843">
      <w:pPr>
        <w:numPr>
          <w:ilvl w:val="1"/>
          <w:numId w:val="24"/>
        </w:numPr>
        <w:tabs>
          <w:tab w:val="clear" w:pos="832"/>
          <w:tab w:val="num" w:pos="0"/>
          <w:tab w:val="left" w:pos="1134"/>
        </w:tabs>
        <w:spacing w:before="120" w:after="120"/>
        <w:ind w:left="0" w:firstLine="567"/>
        <w:jc w:val="both"/>
      </w:pPr>
      <w:r w:rsidRPr="003C38C3">
        <w:t xml:space="preserve">Агрегированная характеристика рисков финансовых инструментов </w:t>
      </w:r>
      <w:r w:rsidR="00552F84" w:rsidRPr="003C38C3">
        <w:t>контрагента ценных бумаг</w:t>
      </w:r>
      <w:r w:rsidR="004677F5">
        <w:t xml:space="preserve"> проводится </w:t>
      </w:r>
      <w:proofErr w:type="spellStart"/>
      <w:r w:rsidR="00811E6B">
        <w:t>экспертно</w:t>
      </w:r>
      <w:proofErr w:type="spellEnd"/>
      <w:r w:rsidR="00E91A46">
        <w:t xml:space="preserve"> </w:t>
      </w:r>
      <w:r>
        <w:t xml:space="preserve">на основе показателей риска рыночной ликвидности и ценового риска по отдельным выпускам ценных бумаг </w:t>
      </w:r>
      <w:r w:rsidR="00552F84">
        <w:t>контрагента</w:t>
      </w:r>
      <w:r w:rsidR="004677F5">
        <w:t>.</w:t>
      </w:r>
    </w:p>
    <w:p w:rsidR="003A5090" w:rsidRPr="003C38C3" w:rsidRDefault="003A5090" w:rsidP="003C38C3">
      <w:pPr>
        <w:pStyle w:val="8-31"/>
        <w:tabs>
          <w:tab w:val="clear" w:pos="680"/>
          <w:tab w:val="left" w:pos="567"/>
        </w:tabs>
        <w:spacing w:before="0"/>
        <w:ind w:left="567" w:firstLine="0"/>
        <w:rPr>
          <w:sz w:val="10"/>
          <w:szCs w:val="10"/>
        </w:rPr>
      </w:pPr>
    </w:p>
    <w:p w:rsidR="0024199E" w:rsidRDefault="0024199E" w:rsidP="0024199E">
      <w:pPr>
        <w:pStyle w:val="1--1"/>
        <w:numPr>
          <w:ilvl w:val="0"/>
          <w:numId w:val="0"/>
        </w:numPr>
      </w:pPr>
    </w:p>
    <w:p w:rsidR="0024199E" w:rsidRDefault="0024199E" w:rsidP="00C05222">
      <w:pPr>
        <w:ind w:right="-30"/>
        <w:outlineLvl w:val="0"/>
        <w:rPr>
          <w:b/>
          <w:sz w:val="22"/>
          <w:szCs w:val="22"/>
        </w:rPr>
      </w:pPr>
    </w:p>
    <w:sectPr w:rsidR="0024199E" w:rsidSect="00C0522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851" w:left="158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C3" w:rsidRDefault="006368C3">
      <w:r>
        <w:separator/>
      </w:r>
    </w:p>
  </w:endnote>
  <w:endnote w:type="continuationSeparator" w:id="0">
    <w:p w:rsidR="006368C3" w:rsidRDefault="006368C3">
      <w:r>
        <w:continuationSeparator/>
      </w:r>
    </w:p>
  </w:endnote>
  <w:endnote w:type="continuationNotice" w:id="1">
    <w:p w:rsidR="006368C3" w:rsidRDefault="0063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3" w:rsidRDefault="006368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51ED">
      <w:rPr>
        <w:noProof/>
      </w:rPr>
      <w:t>2</w:t>
    </w:r>
    <w:r>
      <w:fldChar w:fldCharType="end"/>
    </w:r>
  </w:p>
  <w:p w:rsidR="006368C3" w:rsidRDefault="006368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3" w:rsidRDefault="006368C3">
    <w:pPr>
      <w:pStyle w:val="a5"/>
      <w:jc w:val="right"/>
    </w:pPr>
    <w:r>
      <w:t>23</w:t>
    </w:r>
  </w:p>
  <w:p w:rsidR="006368C3" w:rsidRDefault="006368C3">
    <w:pPr>
      <w:pStyle w:val="a5"/>
      <w:jc w:val="right"/>
    </w:pPr>
  </w:p>
  <w:p w:rsidR="006368C3" w:rsidRDefault="006368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C3" w:rsidRDefault="006368C3">
      <w:r>
        <w:separator/>
      </w:r>
    </w:p>
  </w:footnote>
  <w:footnote w:type="continuationSeparator" w:id="0">
    <w:p w:rsidR="006368C3" w:rsidRDefault="006368C3">
      <w:r>
        <w:continuationSeparator/>
      </w:r>
    </w:p>
  </w:footnote>
  <w:footnote w:type="continuationNotice" w:id="1">
    <w:p w:rsidR="006368C3" w:rsidRDefault="006368C3"/>
  </w:footnote>
  <w:footnote w:id="2">
    <w:p w:rsidR="006368C3" w:rsidRPr="00A34D58" w:rsidRDefault="006368C3" w:rsidP="00C94253">
      <w:pPr>
        <w:tabs>
          <w:tab w:val="num" w:pos="900"/>
        </w:tabs>
        <w:spacing w:before="240"/>
        <w:jc w:val="both"/>
        <w:rPr>
          <w:i/>
          <w:sz w:val="20"/>
          <w:szCs w:val="20"/>
        </w:rPr>
      </w:pPr>
      <w:r w:rsidRPr="00A34D58">
        <w:rPr>
          <w:rStyle w:val="ae"/>
          <w:i/>
          <w:sz w:val="20"/>
          <w:szCs w:val="20"/>
        </w:rPr>
        <w:footnoteRef/>
      </w:r>
      <w:r w:rsidRPr="00A34D58">
        <w:rPr>
          <w:i/>
          <w:sz w:val="20"/>
          <w:szCs w:val="20"/>
        </w:rPr>
        <w:t xml:space="preserve"> Положение </w:t>
      </w:r>
      <w:r w:rsidRPr="00EC0212">
        <w:rPr>
          <w:i/>
          <w:sz w:val="20"/>
          <w:szCs w:val="20"/>
        </w:rPr>
        <w:t>Банка России</w:t>
      </w:r>
      <w:r w:rsidRPr="00A34D58">
        <w:rPr>
          <w:i/>
          <w:sz w:val="20"/>
          <w:szCs w:val="20"/>
        </w:rPr>
        <w:t xml:space="preserve"> от 26.03.2004 №254-П «О порядке формирования кредитными организациями резервов на возможные потери по ссудам, ссудной и приравненной к ней задолженности» и Положение </w:t>
      </w:r>
      <w:r>
        <w:rPr>
          <w:i/>
          <w:sz w:val="20"/>
          <w:szCs w:val="20"/>
        </w:rPr>
        <w:t xml:space="preserve">Банка России </w:t>
      </w:r>
      <w:r w:rsidRPr="00A34D58">
        <w:rPr>
          <w:i/>
          <w:sz w:val="20"/>
          <w:szCs w:val="20"/>
        </w:rPr>
        <w:t xml:space="preserve">от 20.03.2006 №283-П «О порядке формирования кредитными организациями резервов на возможные потери». </w:t>
      </w:r>
    </w:p>
  </w:footnote>
  <w:footnote w:id="3">
    <w:p w:rsidR="006368C3" w:rsidRPr="00A34D58" w:rsidRDefault="006368C3" w:rsidP="00A7142B">
      <w:pPr>
        <w:pStyle w:val="ac"/>
        <w:rPr>
          <w:i/>
        </w:rPr>
      </w:pPr>
      <w:r w:rsidRPr="00A34D58">
        <w:rPr>
          <w:rStyle w:val="ae"/>
          <w:i/>
        </w:rPr>
        <w:footnoteRef/>
      </w:r>
      <w:r w:rsidRPr="00A34D58">
        <w:rPr>
          <w:i/>
        </w:rPr>
        <w:t xml:space="preserve"> Указания </w:t>
      </w:r>
      <w:r>
        <w:rPr>
          <w:i/>
        </w:rPr>
        <w:t>Банка России</w:t>
      </w:r>
      <w:r w:rsidRPr="00A34D58">
        <w:rPr>
          <w:i/>
        </w:rPr>
        <w:t xml:space="preserve"> от 30.04.2008 №2005-У «Об оценке экономического положения банков».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3" w:rsidRDefault="006368C3" w:rsidP="008817FC">
    <w:pPr>
      <w:pStyle w:val="aa"/>
      <w:tabs>
        <w:tab w:val="left" w:pos="8364"/>
      </w:tabs>
      <w:ind w:right="1075"/>
      <w:jc w:val="center"/>
      <w:rPr>
        <w:i/>
        <w:sz w:val="20"/>
      </w:rPr>
    </w:pPr>
    <w:r w:rsidRPr="003A6C69">
      <w:rPr>
        <w:i/>
        <w:sz w:val="20"/>
      </w:rPr>
      <w:t xml:space="preserve">Методические рекомендации по проведению </w:t>
    </w:r>
    <w:r>
      <w:rPr>
        <w:i/>
        <w:sz w:val="20"/>
      </w:rPr>
      <w:t>Банком</w:t>
    </w:r>
    <w:r w:rsidRPr="001267FD">
      <w:rPr>
        <w:i/>
        <w:sz w:val="20"/>
      </w:rPr>
      <w:t xml:space="preserve"> НКЦ (АО)</w:t>
    </w:r>
  </w:p>
  <w:p w:rsidR="006368C3" w:rsidRDefault="006368C3" w:rsidP="008817FC">
    <w:pPr>
      <w:pStyle w:val="aa"/>
      <w:tabs>
        <w:tab w:val="left" w:pos="8364"/>
      </w:tabs>
      <w:ind w:right="1075"/>
      <w:jc w:val="center"/>
      <w:rPr>
        <w:i/>
        <w:sz w:val="20"/>
      </w:rPr>
    </w:pPr>
    <w:r w:rsidRPr="003A6C69">
      <w:rPr>
        <w:i/>
        <w:sz w:val="20"/>
      </w:rPr>
      <w:t>индивидуальной оценк</w:t>
    </w:r>
    <w:r>
      <w:rPr>
        <w:i/>
        <w:sz w:val="20"/>
      </w:rPr>
      <w:t xml:space="preserve">и </w:t>
    </w:r>
    <w:r w:rsidRPr="003A6C69">
      <w:rPr>
        <w:i/>
        <w:sz w:val="20"/>
      </w:rPr>
      <w:t>кредитного риска на контрагентов</w:t>
    </w:r>
    <w:r>
      <w:rPr>
        <w:i/>
        <w:sz w:val="20"/>
      </w:rPr>
      <w:t xml:space="preserve"> для целей</w:t>
    </w:r>
  </w:p>
  <w:p w:rsidR="006368C3" w:rsidRPr="00B229D2" w:rsidRDefault="006368C3" w:rsidP="008817FC">
    <w:pPr>
      <w:pStyle w:val="aa"/>
      <w:tabs>
        <w:tab w:val="left" w:pos="8364"/>
      </w:tabs>
      <w:ind w:right="1075"/>
      <w:jc w:val="center"/>
      <w:rPr>
        <w:i/>
        <w:sz w:val="20"/>
      </w:rPr>
    </w:pPr>
    <w:r>
      <w:rPr>
        <w:i/>
        <w:sz w:val="20"/>
      </w:rPr>
      <w:t>формирования инвестиционных активов и установления лимитов по казначейским сделкам</w:t>
    </w:r>
  </w:p>
  <w:p w:rsidR="006368C3" w:rsidRPr="00A462FA" w:rsidRDefault="006368C3" w:rsidP="00A462FA">
    <w:pPr>
      <w:pStyle w:val="aa"/>
      <w:tabs>
        <w:tab w:val="left" w:pos="8222"/>
      </w:tabs>
      <w:ind w:right="1075"/>
      <w:rPr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3" w:rsidRDefault="006368C3" w:rsidP="008817FC">
    <w:pPr>
      <w:pStyle w:val="aa"/>
      <w:tabs>
        <w:tab w:val="left" w:pos="8364"/>
      </w:tabs>
      <w:ind w:right="1075"/>
      <w:jc w:val="center"/>
      <w:rPr>
        <w:i/>
        <w:sz w:val="20"/>
      </w:rPr>
    </w:pPr>
    <w:r w:rsidRPr="003A6C69">
      <w:rPr>
        <w:i/>
        <w:sz w:val="20"/>
      </w:rPr>
      <w:t xml:space="preserve">Методические рекомендации по проведению </w:t>
    </w:r>
    <w:r>
      <w:rPr>
        <w:i/>
        <w:sz w:val="20"/>
      </w:rPr>
      <w:t>Банком</w:t>
    </w:r>
    <w:r w:rsidRPr="001267FD">
      <w:rPr>
        <w:i/>
        <w:sz w:val="20"/>
      </w:rPr>
      <w:t xml:space="preserve"> НКЦ (АО)</w:t>
    </w:r>
  </w:p>
  <w:p w:rsidR="006368C3" w:rsidRDefault="006368C3" w:rsidP="008817FC">
    <w:pPr>
      <w:pStyle w:val="aa"/>
      <w:tabs>
        <w:tab w:val="left" w:pos="8364"/>
      </w:tabs>
      <w:ind w:right="1075"/>
      <w:jc w:val="center"/>
      <w:rPr>
        <w:i/>
        <w:sz w:val="20"/>
      </w:rPr>
    </w:pPr>
    <w:r w:rsidRPr="003A6C69">
      <w:rPr>
        <w:i/>
        <w:sz w:val="20"/>
      </w:rPr>
      <w:t>индивидуальной оценк</w:t>
    </w:r>
    <w:r>
      <w:rPr>
        <w:i/>
        <w:sz w:val="20"/>
      </w:rPr>
      <w:t xml:space="preserve">и </w:t>
    </w:r>
    <w:r w:rsidRPr="003A6C69">
      <w:rPr>
        <w:i/>
        <w:sz w:val="20"/>
      </w:rPr>
      <w:t>кредитного риска на контрагентов</w:t>
    </w:r>
    <w:r>
      <w:rPr>
        <w:i/>
        <w:sz w:val="20"/>
      </w:rPr>
      <w:t xml:space="preserve"> для целей</w:t>
    </w:r>
  </w:p>
  <w:p w:rsidR="006368C3" w:rsidRPr="00B229D2" w:rsidRDefault="006368C3" w:rsidP="008817FC">
    <w:pPr>
      <w:pStyle w:val="aa"/>
      <w:tabs>
        <w:tab w:val="left" w:pos="8364"/>
      </w:tabs>
      <w:ind w:right="1075"/>
      <w:jc w:val="center"/>
      <w:rPr>
        <w:i/>
        <w:sz w:val="20"/>
      </w:rPr>
    </w:pPr>
    <w:r>
      <w:rPr>
        <w:i/>
        <w:sz w:val="20"/>
      </w:rPr>
      <w:t>формирования инвестиционных активов и установления лимитов по казначейским сделкам</w:t>
    </w:r>
  </w:p>
  <w:p w:rsidR="006368C3" w:rsidRPr="003A6C69" w:rsidRDefault="006368C3" w:rsidP="003A6C69">
    <w:pPr>
      <w:pStyle w:val="aa"/>
      <w:tabs>
        <w:tab w:val="left" w:pos="8222"/>
      </w:tabs>
      <w:ind w:right="1075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92F"/>
    <w:multiLevelType w:val="multilevel"/>
    <w:tmpl w:val="98068B74"/>
    <w:lvl w:ilvl="0">
      <w:start w:val="6"/>
      <w:numFmt w:val="decimal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" w15:restartNumberingAfterBreak="0">
    <w:nsid w:val="016D548B"/>
    <w:multiLevelType w:val="hybridMultilevel"/>
    <w:tmpl w:val="36AEFB1A"/>
    <w:lvl w:ilvl="0" w:tplc="5CCC70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34FA"/>
    <w:multiLevelType w:val="multilevel"/>
    <w:tmpl w:val="10DC1C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5786F5E"/>
    <w:multiLevelType w:val="hybridMultilevel"/>
    <w:tmpl w:val="78D4D960"/>
    <w:lvl w:ilvl="0" w:tplc="ADD2E366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75A18"/>
    <w:multiLevelType w:val="multilevel"/>
    <w:tmpl w:val="49D04522"/>
    <w:lvl w:ilvl="0">
      <w:start w:val="1"/>
      <w:numFmt w:val="decimal"/>
      <w:lvlText w:val="%1."/>
      <w:lvlJc w:val="left"/>
      <w:pPr>
        <w:tabs>
          <w:tab w:val="num" w:pos="491"/>
        </w:tabs>
        <w:ind w:left="1277" w:hanging="284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 w15:restartNumberingAfterBreak="0">
    <w:nsid w:val="08990D8F"/>
    <w:multiLevelType w:val="multilevel"/>
    <w:tmpl w:val="55B6A09C"/>
    <w:lvl w:ilvl="0">
      <w:start w:val="4"/>
      <w:numFmt w:val="decimal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3"/>
      <w:numFmt w:val="decimal"/>
      <w:lvlText w:val="5.%2"/>
      <w:lvlJc w:val="left"/>
      <w:pPr>
        <w:tabs>
          <w:tab w:val="num" w:pos="45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83" w:hanging="657"/>
      </w:pPr>
      <w:rPr>
        <w:rFonts w:hint="default"/>
      </w:rPr>
    </w:lvl>
    <w:lvl w:ilvl="3">
      <w:start w:val="1"/>
      <w:numFmt w:val="none"/>
      <w:lvlText w:val="%1.%2.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6" w15:restartNumberingAfterBreak="0">
    <w:nsid w:val="098849A7"/>
    <w:multiLevelType w:val="multilevel"/>
    <w:tmpl w:val="10DC1C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09E70DD4"/>
    <w:multiLevelType w:val="hybridMultilevel"/>
    <w:tmpl w:val="3E4EA010"/>
    <w:lvl w:ilvl="0" w:tplc="888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02038"/>
    <w:multiLevelType w:val="multilevel"/>
    <w:tmpl w:val="E730A198"/>
    <w:lvl w:ilvl="0">
      <w:start w:val="5"/>
      <w:numFmt w:val="decimal"/>
      <w:pStyle w:val="1--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4"/>
      <w:numFmt w:val="decimal"/>
      <w:pStyle w:val="2--1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88"/>
        </w:tabs>
        <w:ind w:left="568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9" w15:restartNumberingAfterBreak="0">
    <w:nsid w:val="11EA72A3"/>
    <w:multiLevelType w:val="multilevel"/>
    <w:tmpl w:val="3790F96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47838"/>
    <w:multiLevelType w:val="hybridMultilevel"/>
    <w:tmpl w:val="A9CED6F0"/>
    <w:lvl w:ilvl="0" w:tplc="8886E9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24803E1"/>
    <w:multiLevelType w:val="hybridMultilevel"/>
    <w:tmpl w:val="66589D12"/>
    <w:lvl w:ilvl="0" w:tplc="0419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F5B02"/>
    <w:multiLevelType w:val="multilevel"/>
    <w:tmpl w:val="5F9E9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934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4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01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52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45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032" w:hanging="1440"/>
      </w:pPr>
      <w:rPr>
        <w:rFonts w:hint="default"/>
        <w:sz w:val="24"/>
      </w:rPr>
    </w:lvl>
  </w:abstractNum>
  <w:abstractNum w:abstractNumId="13" w15:restartNumberingAfterBreak="0">
    <w:nsid w:val="13887F63"/>
    <w:multiLevelType w:val="hybridMultilevel"/>
    <w:tmpl w:val="91E0C70A"/>
    <w:lvl w:ilvl="0" w:tplc="4552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152F66"/>
    <w:multiLevelType w:val="multilevel"/>
    <w:tmpl w:val="78C80E6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15" w15:restartNumberingAfterBreak="0">
    <w:nsid w:val="16BE3A17"/>
    <w:multiLevelType w:val="hybridMultilevel"/>
    <w:tmpl w:val="78221E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96D2839"/>
    <w:multiLevelType w:val="hybridMultilevel"/>
    <w:tmpl w:val="B0927D46"/>
    <w:lvl w:ilvl="0" w:tplc="888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87A7C"/>
    <w:multiLevelType w:val="hybridMultilevel"/>
    <w:tmpl w:val="778A4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402405"/>
    <w:multiLevelType w:val="multilevel"/>
    <w:tmpl w:val="C4EC3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325271"/>
    <w:multiLevelType w:val="hybridMultilevel"/>
    <w:tmpl w:val="01B0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FD5962"/>
    <w:multiLevelType w:val="hybridMultilevel"/>
    <w:tmpl w:val="9F54E43E"/>
    <w:lvl w:ilvl="0" w:tplc="ABC63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F624F5"/>
    <w:multiLevelType w:val="hybridMultilevel"/>
    <w:tmpl w:val="F1421426"/>
    <w:lvl w:ilvl="0" w:tplc="18085FA8">
      <w:start w:val="1"/>
      <w:numFmt w:val="bullet"/>
      <w:lvlText w:val=""/>
      <w:lvlJc w:val="left"/>
      <w:pPr>
        <w:tabs>
          <w:tab w:val="num" w:pos="1146"/>
        </w:tabs>
        <w:ind w:left="1146" w:hanging="3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56216"/>
    <w:multiLevelType w:val="hybridMultilevel"/>
    <w:tmpl w:val="F2B0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41E97"/>
    <w:multiLevelType w:val="multilevel"/>
    <w:tmpl w:val="CD7000D4"/>
    <w:lvl w:ilvl="0">
      <w:start w:val="1"/>
      <w:numFmt w:val="decimal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8"/>
        </w:tabs>
        <w:ind w:left="94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24" w15:restartNumberingAfterBreak="0">
    <w:nsid w:val="27662D45"/>
    <w:multiLevelType w:val="hybridMultilevel"/>
    <w:tmpl w:val="F4A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20425E"/>
    <w:multiLevelType w:val="hybridMultilevel"/>
    <w:tmpl w:val="6F347EF2"/>
    <w:lvl w:ilvl="0" w:tplc="A476BB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A7878DC"/>
    <w:multiLevelType w:val="multilevel"/>
    <w:tmpl w:val="3C642FFE"/>
    <w:lvl w:ilvl="0">
      <w:start w:val="1"/>
      <w:numFmt w:val="bullet"/>
      <w:lvlText w:val=""/>
      <w:lvlJc w:val="left"/>
      <w:pPr>
        <w:tabs>
          <w:tab w:val="num" w:pos="170"/>
        </w:tabs>
        <w:ind w:left="340" w:hanging="34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04"/>
        </w:tabs>
        <w:ind w:left="3537" w:hanging="657"/>
      </w:pPr>
      <w:rPr>
        <w:rFonts w:hint="default"/>
      </w:rPr>
    </w:lvl>
    <w:lvl w:ilvl="3">
      <w:start w:val="1"/>
      <w:numFmt w:val="none"/>
      <w:lvlText w:val="%1.%2.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27" w15:restartNumberingAfterBreak="0">
    <w:nsid w:val="2EDE3D55"/>
    <w:multiLevelType w:val="hybridMultilevel"/>
    <w:tmpl w:val="41B65110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31DE3E11"/>
    <w:multiLevelType w:val="hybridMultilevel"/>
    <w:tmpl w:val="ADB465B0"/>
    <w:lvl w:ilvl="0" w:tplc="888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E530D"/>
    <w:multiLevelType w:val="hybridMultilevel"/>
    <w:tmpl w:val="E50229CC"/>
    <w:lvl w:ilvl="0" w:tplc="000644AC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E10B55"/>
    <w:multiLevelType w:val="multilevel"/>
    <w:tmpl w:val="BB94CF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36470704"/>
    <w:multiLevelType w:val="hybridMultilevel"/>
    <w:tmpl w:val="A2C8529A"/>
    <w:lvl w:ilvl="0" w:tplc="888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BD2EC7"/>
    <w:multiLevelType w:val="hybridMultilevel"/>
    <w:tmpl w:val="96D61662"/>
    <w:lvl w:ilvl="0" w:tplc="8886E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6D65D24"/>
    <w:multiLevelType w:val="hybridMultilevel"/>
    <w:tmpl w:val="1360BFE6"/>
    <w:lvl w:ilvl="0" w:tplc="AAB46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7364136"/>
    <w:multiLevelType w:val="hybridMultilevel"/>
    <w:tmpl w:val="CA04B7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38152BB8"/>
    <w:multiLevelType w:val="multilevel"/>
    <w:tmpl w:val="D986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B36353D"/>
    <w:multiLevelType w:val="hybridMultilevel"/>
    <w:tmpl w:val="33A80F2E"/>
    <w:lvl w:ilvl="0" w:tplc="0419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379A0"/>
    <w:multiLevelType w:val="hybridMultilevel"/>
    <w:tmpl w:val="9EC6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1478CD"/>
    <w:multiLevelType w:val="hybridMultilevel"/>
    <w:tmpl w:val="2D50D686"/>
    <w:lvl w:ilvl="0" w:tplc="8886E9E6">
      <w:start w:val="1"/>
      <w:numFmt w:val="bullet"/>
      <w:lvlText w:val=""/>
      <w:lvlJc w:val="left"/>
      <w:pPr>
        <w:ind w:left="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3E631217"/>
    <w:multiLevelType w:val="multilevel"/>
    <w:tmpl w:val="2FBED6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40" w15:restartNumberingAfterBreak="0">
    <w:nsid w:val="3EB909CF"/>
    <w:multiLevelType w:val="multilevel"/>
    <w:tmpl w:val="052CA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F514461"/>
    <w:multiLevelType w:val="multilevel"/>
    <w:tmpl w:val="D3B686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3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2712A5B"/>
    <w:multiLevelType w:val="hybridMultilevel"/>
    <w:tmpl w:val="30D8325C"/>
    <w:lvl w:ilvl="0" w:tplc="888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CF2A1E"/>
    <w:multiLevelType w:val="hybridMultilevel"/>
    <w:tmpl w:val="7E86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054770"/>
    <w:multiLevelType w:val="multilevel"/>
    <w:tmpl w:val="8A08EA9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4BD4CE1"/>
    <w:multiLevelType w:val="hybridMultilevel"/>
    <w:tmpl w:val="34425944"/>
    <w:lvl w:ilvl="0" w:tplc="4F2E2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91624"/>
    <w:multiLevelType w:val="hybridMultilevel"/>
    <w:tmpl w:val="250CCAF2"/>
    <w:lvl w:ilvl="0" w:tplc="041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6527A61"/>
    <w:multiLevelType w:val="hybridMultilevel"/>
    <w:tmpl w:val="66AC2E64"/>
    <w:lvl w:ilvl="0" w:tplc="41861C26">
      <w:start w:val="1"/>
      <w:numFmt w:val="decimal"/>
      <w:lvlText w:val="1.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47E4389F"/>
    <w:multiLevelType w:val="hybridMultilevel"/>
    <w:tmpl w:val="FAF41E56"/>
    <w:lvl w:ilvl="0" w:tplc="5D643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9D07988"/>
    <w:multiLevelType w:val="hybridMultilevel"/>
    <w:tmpl w:val="5D60C466"/>
    <w:lvl w:ilvl="0" w:tplc="867CBE00">
      <w:numFmt w:val="bullet"/>
      <w:lvlText w:val="-"/>
      <w:lvlJc w:val="left"/>
      <w:pPr>
        <w:tabs>
          <w:tab w:val="num" w:pos="737"/>
        </w:tabs>
        <w:ind w:left="737" w:hanging="3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242948"/>
    <w:multiLevelType w:val="multilevel"/>
    <w:tmpl w:val="0CBAB3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4DAE5CC9"/>
    <w:multiLevelType w:val="hybridMultilevel"/>
    <w:tmpl w:val="BBAC265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2" w15:restartNumberingAfterBreak="0">
    <w:nsid w:val="4E652EA8"/>
    <w:multiLevelType w:val="multilevel"/>
    <w:tmpl w:val="50B6E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752C60"/>
    <w:multiLevelType w:val="hybridMultilevel"/>
    <w:tmpl w:val="2C04F3DA"/>
    <w:lvl w:ilvl="0" w:tplc="5CCC70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0EF1B8C"/>
    <w:multiLevelType w:val="hybridMultilevel"/>
    <w:tmpl w:val="1B0CDE28"/>
    <w:lvl w:ilvl="0" w:tplc="A5DA3B34">
      <w:start w:val="1"/>
      <w:numFmt w:val="bullet"/>
      <w:lvlText w:val="-"/>
      <w:lvlJc w:val="left"/>
      <w:pPr>
        <w:tabs>
          <w:tab w:val="num" w:pos="1381"/>
        </w:tabs>
        <w:ind w:left="1304" w:hanging="283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623E4F"/>
    <w:multiLevelType w:val="multilevel"/>
    <w:tmpl w:val="B7B053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62D4A55"/>
    <w:multiLevelType w:val="multilevel"/>
    <w:tmpl w:val="98068B74"/>
    <w:lvl w:ilvl="0">
      <w:start w:val="6"/>
      <w:numFmt w:val="decimal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57" w15:restartNumberingAfterBreak="0">
    <w:nsid w:val="58B26AE8"/>
    <w:multiLevelType w:val="hybridMultilevel"/>
    <w:tmpl w:val="06C4D686"/>
    <w:lvl w:ilvl="0" w:tplc="D6262322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7F10A4"/>
    <w:multiLevelType w:val="multilevel"/>
    <w:tmpl w:val="07860E0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B016BD7"/>
    <w:multiLevelType w:val="hybridMultilevel"/>
    <w:tmpl w:val="BFF013BE"/>
    <w:lvl w:ilvl="0" w:tplc="8886E9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0" w15:restartNumberingAfterBreak="0">
    <w:nsid w:val="5BE51C18"/>
    <w:multiLevelType w:val="hybridMultilevel"/>
    <w:tmpl w:val="14C6654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1" w15:restartNumberingAfterBreak="0">
    <w:nsid w:val="5C00486A"/>
    <w:multiLevelType w:val="hybridMultilevel"/>
    <w:tmpl w:val="C12A0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C3943EC"/>
    <w:multiLevelType w:val="hybridMultilevel"/>
    <w:tmpl w:val="FAD2163C"/>
    <w:lvl w:ilvl="0" w:tplc="888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4B7870"/>
    <w:multiLevelType w:val="hybridMultilevel"/>
    <w:tmpl w:val="77242ED2"/>
    <w:lvl w:ilvl="0" w:tplc="4F2E2EF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4" w15:restartNumberingAfterBreak="0">
    <w:nsid w:val="5C84020B"/>
    <w:multiLevelType w:val="multilevel"/>
    <w:tmpl w:val="6BCE1E7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32"/>
        </w:tabs>
        <w:ind w:left="8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48"/>
        </w:tabs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4"/>
        </w:tabs>
        <w:ind w:left="34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6"/>
        </w:tabs>
        <w:ind w:left="4136" w:hanging="1800"/>
      </w:pPr>
      <w:rPr>
        <w:rFonts w:hint="default"/>
      </w:rPr>
    </w:lvl>
  </w:abstractNum>
  <w:abstractNum w:abstractNumId="65" w15:restartNumberingAfterBreak="0">
    <w:nsid w:val="5EB93A8D"/>
    <w:multiLevelType w:val="multilevel"/>
    <w:tmpl w:val="EA56A7C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6" w15:restartNumberingAfterBreak="0">
    <w:nsid w:val="5F5D41AA"/>
    <w:multiLevelType w:val="multilevel"/>
    <w:tmpl w:val="319A4788"/>
    <w:lvl w:ilvl="0">
      <w:start w:val="4"/>
      <w:numFmt w:val="decimal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20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none"/>
      <w:lvlText w:val="%1.%2.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67" w15:restartNumberingAfterBreak="0">
    <w:nsid w:val="628375B0"/>
    <w:multiLevelType w:val="hybridMultilevel"/>
    <w:tmpl w:val="60A4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1B4A38"/>
    <w:multiLevelType w:val="hybridMultilevel"/>
    <w:tmpl w:val="1296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D126ED"/>
    <w:multiLevelType w:val="hybridMultilevel"/>
    <w:tmpl w:val="2D4AC036"/>
    <w:lvl w:ilvl="0" w:tplc="ADD2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E637AB"/>
    <w:multiLevelType w:val="multilevel"/>
    <w:tmpl w:val="A86A863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1" w15:restartNumberingAfterBreak="0">
    <w:nsid w:val="64C65261"/>
    <w:multiLevelType w:val="multilevel"/>
    <w:tmpl w:val="4AACF7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2" w15:restartNumberingAfterBreak="0">
    <w:nsid w:val="664D5E59"/>
    <w:multiLevelType w:val="multilevel"/>
    <w:tmpl w:val="4E4C1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67295774"/>
    <w:multiLevelType w:val="multilevel"/>
    <w:tmpl w:val="1E1EC9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85561AC"/>
    <w:multiLevelType w:val="hybridMultilevel"/>
    <w:tmpl w:val="8FA2BD00"/>
    <w:lvl w:ilvl="0" w:tplc="D6262322">
      <w:start w:val="1"/>
      <w:numFmt w:val="bullet"/>
      <w:lvlText w:val=""/>
      <w:lvlJc w:val="left"/>
      <w:pPr>
        <w:tabs>
          <w:tab w:val="num" w:pos="764"/>
        </w:tabs>
        <w:ind w:left="764" w:hanging="284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AF5DA1"/>
    <w:multiLevelType w:val="hybridMultilevel"/>
    <w:tmpl w:val="6B26FFF2"/>
    <w:lvl w:ilvl="0" w:tplc="B88A2448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6" w15:restartNumberingAfterBreak="0">
    <w:nsid w:val="68CA5605"/>
    <w:multiLevelType w:val="multilevel"/>
    <w:tmpl w:val="76A4D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9AE0854"/>
    <w:multiLevelType w:val="hybridMultilevel"/>
    <w:tmpl w:val="63567A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8" w15:restartNumberingAfterBreak="0">
    <w:nsid w:val="69D615EE"/>
    <w:multiLevelType w:val="multilevel"/>
    <w:tmpl w:val="FFBA1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596"/>
        </w:tabs>
        <w:ind w:left="54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9" w15:restartNumberingAfterBreak="0">
    <w:nsid w:val="71813D21"/>
    <w:multiLevelType w:val="hybridMultilevel"/>
    <w:tmpl w:val="CF3A8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71B4518C"/>
    <w:multiLevelType w:val="hybridMultilevel"/>
    <w:tmpl w:val="7BD62308"/>
    <w:lvl w:ilvl="0" w:tplc="853CE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F92332"/>
    <w:multiLevelType w:val="hybridMultilevel"/>
    <w:tmpl w:val="DFBA8314"/>
    <w:lvl w:ilvl="0" w:tplc="888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E56A6"/>
    <w:multiLevelType w:val="hybridMultilevel"/>
    <w:tmpl w:val="C37E3F6C"/>
    <w:lvl w:ilvl="0" w:tplc="93E4182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96146B"/>
    <w:multiLevelType w:val="multilevel"/>
    <w:tmpl w:val="9196C7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5.%4.1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4" w15:restartNumberingAfterBreak="0">
    <w:nsid w:val="77293C99"/>
    <w:multiLevelType w:val="multilevel"/>
    <w:tmpl w:val="FC726C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740187A"/>
    <w:multiLevelType w:val="hybridMultilevel"/>
    <w:tmpl w:val="FC001624"/>
    <w:lvl w:ilvl="0" w:tplc="1E4A6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8121AA7"/>
    <w:multiLevelType w:val="multilevel"/>
    <w:tmpl w:val="1EEEDE7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5.%3"/>
      <w:lvlJc w:val="left"/>
      <w:pPr>
        <w:ind w:left="1288" w:hanging="720"/>
      </w:pPr>
      <w:rPr>
        <w:rFonts w:hint="default"/>
      </w:rPr>
    </w:lvl>
    <w:lvl w:ilvl="3">
      <w:start w:val="3"/>
      <w:numFmt w:val="decimal"/>
      <w:lvlText w:val="5.%4.1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7" w15:restartNumberingAfterBreak="0">
    <w:nsid w:val="78DD17D6"/>
    <w:multiLevelType w:val="hybridMultilevel"/>
    <w:tmpl w:val="4F0875F2"/>
    <w:lvl w:ilvl="0" w:tplc="888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20193B"/>
    <w:multiLevelType w:val="multilevel"/>
    <w:tmpl w:val="442CC00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9" w15:restartNumberingAfterBreak="0">
    <w:nsid w:val="7C911128"/>
    <w:multiLevelType w:val="multilevel"/>
    <w:tmpl w:val="A00C7A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54"/>
  </w:num>
  <w:num w:numId="4">
    <w:abstractNumId w:val="74"/>
  </w:num>
  <w:num w:numId="5">
    <w:abstractNumId w:val="5"/>
  </w:num>
  <w:num w:numId="6">
    <w:abstractNumId w:val="66"/>
  </w:num>
  <w:num w:numId="7">
    <w:abstractNumId w:val="26"/>
  </w:num>
  <w:num w:numId="8">
    <w:abstractNumId w:val="57"/>
  </w:num>
  <w:num w:numId="9">
    <w:abstractNumId w:val="29"/>
  </w:num>
  <w:num w:numId="10">
    <w:abstractNumId w:val="38"/>
  </w:num>
  <w:num w:numId="11">
    <w:abstractNumId w:val="16"/>
  </w:num>
  <w:num w:numId="12">
    <w:abstractNumId w:val="28"/>
  </w:num>
  <w:num w:numId="13">
    <w:abstractNumId w:val="30"/>
  </w:num>
  <w:num w:numId="14">
    <w:abstractNumId w:val="89"/>
  </w:num>
  <w:num w:numId="15">
    <w:abstractNumId w:val="10"/>
  </w:num>
  <w:num w:numId="16">
    <w:abstractNumId w:val="59"/>
  </w:num>
  <w:num w:numId="17">
    <w:abstractNumId w:val="31"/>
  </w:num>
  <w:num w:numId="18">
    <w:abstractNumId w:val="32"/>
  </w:num>
  <w:num w:numId="19">
    <w:abstractNumId w:val="87"/>
  </w:num>
  <w:num w:numId="20">
    <w:abstractNumId w:val="62"/>
  </w:num>
  <w:num w:numId="21">
    <w:abstractNumId w:val="83"/>
  </w:num>
  <w:num w:numId="22">
    <w:abstractNumId w:val="88"/>
  </w:num>
  <w:num w:numId="23">
    <w:abstractNumId w:val="9"/>
  </w:num>
  <w:num w:numId="24">
    <w:abstractNumId w:val="64"/>
  </w:num>
  <w:num w:numId="25">
    <w:abstractNumId w:val="21"/>
  </w:num>
  <w:num w:numId="26">
    <w:abstractNumId w:val="7"/>
  </w:num>
  <w:num w:numId="27">
    <w:abstractNumId w:val="81"/>
  </w:num>
  <w:num w:numId="28">
    <w:abstractNumId w:val="35"/>
  </w:num>
  <w:num w:numId="29">
    <w:abstractNumId w:val="47"/>
  </w:num>
  <w:num w:numId="30">
    <w:abstractNumId w:val="78"/>
  </w:num>
  <w:num w:numId="31">
    <w:abstractNumId w:val="15"/>
  </w:num>
  <w:num w:numId="32">
    <w:abstractNumId w:val="13"/>
  </w:num>
  <w:num w:numId="33">
    <w:abstractNumId w:val="43"/>
  </w:num>
  <w:num w:numId="34">
    <w:abstractNumId w:val="51"/>
  </w:num>
  <w:num w:numId="35">
    <w:abstractNumId w:val="22"/>
  </w:num>
  <w:num w:numId="36">
    <w:abstractNumId w:val="68"/>
  </w:num>
  <w:num w:numId="37">
    <w:abstractNumId w:val="37"/>
  </w:num>
  <w:num w:numId="38">
    <w:abstractNumId w:val="48"/>
  </w:num>
  <w:num w:numId="39">
    <w:abstractNumId w:val="85"/>
  </w:num>
  <w:num w:numId="40">
    <w:abstractNumId w:val="34"/>
  </w:num>
  <w:num w:numId="41">
    <w:abstractNumId w:val="33"/>
  </w:num>
  <w:num w:numId="42">
    <w:abstractNumId w:val="3"/>
  </w:num>
  <w:num w:numId="43">
    <w:abstractNumId w:val="63"/>
  </w:num>
  <w:num w:numId="44">
    <w:abstractNumId w:val="67"/>
  </w:num>
  <w:num w:numId="45">
    <w:abstractNumId w:val="19"/>
  </w:num>
  <w:num w:numId="46">
    <w:abstractNumId w:val="55"/>
  </w:num>
  <w:num w:numId="47">
    <w:abstractNumId w:val="58"/>
  </w:num>
  <w:num w:numId="48">
    <w:abstractNumId w:val="86"/>
  </w:num>
  <w:num w:numId="49">
    <w:abstractNumId w:val="39"/>
  </w:num>
  <w:num w:numId="50">
    <w:abstractNumId w:val="65"/>
  </w:num>
  <w:num w:numId="51">
    <w:abstractNumId w:val="77"/>
  </w:num>
  <w:num w:numId="52">
    <w:abstractNumId w:val="41"/>
  </w:num>
  <w:num w:numId="53">
    <w:abstractNumId w:val="70"/>
  </w:num>
  <w:num w:numId="54">
    <w:abstractNumId w:val="2"/>
  </w:num>
  <w:num w:numId="55">
    <w:abstractNumId w:val="6"/>
  </w:num>
  <w:num w:numId="56">
    <w:abstractNumId w:val="71"/>
  </w:num>
  <w:num w:numId="57">
    <w:abstractNumId w:val="8"/>
  </w:num>
  <w:num w:numId="58">
    <w:abstractNumId w:val="8"/>
  </w:num>
  <w:num w:numId="59">
    <w:abstractNumId w:val="8"/>
  </w:num>
  <w:num w:numId="60">
    <w:abstractNumId w:val="8"/>
  </w:num>
  <w:num w:numId="61">
    <w:abstractNumId w:val="8"/>
  </w:num>
  <w:num w:numId="62">
    <w:abstractNumId w:val="8"/>
  </w:num>
  <w:num w:numId="63">
    <w:abstractNumId w:val="8"/>
  </w:num>
  <w:num w:numId="64">
    <w:abstractNumId w:val="8"/>
  </w:num>
  <w:num w:numId="65">
    <w:abstractNumId w:val="8"/>
  </w:num>
  <w:num w:numId="66">
    <w:abstractNumId w:val="8"/>
  </w:num>
  <w:num w:numId="67">
    <w:abstractNumId w:val="8"/>
  </w:num>
  <w:num w:numId="68">
    <w:abstractNumId w:val="8"/>
  </w:num>
  <w:num w:numId="69">
    <w:abstractNumId w:val="76"/>
  </w:num>
  <w:num w:numId="70">
    <w:abstractNumId w:val="52"/>
  </w:num>
  <w:num w:numId="71">
    <w:abstractNumId w:val="84"/>
  </w:num>
  <w:num w:numId="72">
    <w:abstractNumId w:val="50"/>
  </w:num>
  <w:num w:numId="73">
    <w:abstractNumId w:val="1"/>
  </w:num>
  <w:num w:numId="74">
    <w:abstractNumId w:val="18"/>
  </w:num>
  <w:num w:numId="75">
    <w:abstractNumId w:val="73"/>
  </w:num>
  <w:num w:numId="76">
    <w:abstractNumId w:val="75"/>
  </w:num>
  <w:num w:numId="77">
    <w:abstractNumId w:val="80"/>
  </w:num>
  <w:num w:numId="78">
    <w:abstractNumId w:val="17"/>
  </w:num>
  <w:num w:numId="79">
    <w:abstractNumId w:val="20"/>
  </w:num>
  <w:num w:numId="80">
    <w:abstractNumId w:val="27"/>
  </w:num>
  <w:num w:numId="81">
    <w:abstractNumId w:val="56"/>
  </w:num>
  <w:num w:numId="82">
    <w:abstractNumId w:val="49"/>
  </w:num>
  <w:num w:numId="83">
    <w:abstractNumId w:val="53"/>
  </w:num>
  <w:num w:numId="84">
    <w:abstractNumId w:val="72"/>
  </w:num>
  <w:num w:numId="85">
    <w:abstractNumId w:val="82"/>
  </w:num>
  <w:num w:numId="86">
    <w:abstractNumId w:val="44"/>
  </w:num>
  <w:num w:numId="87">
    <w:abstractNumId w:val="25"/>
  </w:num>
  <w:num w:numId="88">
    <w:abstractNumId w:val="61"/>
  </w:num>
  <w:num w:numId="89">
    <w:abstractNumId w:val="0"/>
  </w:num>
  <w:num w:numId="90">
    <w:abstractNumId w:val="11"/>
  </w:num>
  <w:num w:numId="91">
    <w:abstractNumId w:val="36"/>
  </w:num>
  <w:num w:numId="92">
    <w:abstractNumId w:val="69"/>
  </w:num>
  <w:num w:numId="93">
    <w:abstractNumId w:val="46"/>
  </w:num>
  <w:num w:numId="94">
    <w:abstractNumId w:val="14"/>
  </w:num>
  <w:num w:numId="95">
    <w:abstractNumId w:val="60"/>
  </w:num>
  <w:num w:numId="96">
    <w:abstractNumId w:val="79"/>
  </w:num>
  <w:num w:numId="97">
    <w:abstractNumId w:val="45"/>
  </w:num>
  <w:num w:numId="98">
    <w:abstractNumId w:val="4"/>
  </w:num>
  <w:num w:numId="99">
    <w:abstractNumId w:val="24"/>
  </w:num>
  <w:num w:numId="100">
    <w:abstractNumId w:val="40"/>
  </w:num>
  <w:num w:numId="101">
    <w:abstractNumId w:val="12"/>
  </w:num>
  <w:num w:numId="102">
    <w:abstractNumId w:val="4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84"/>
    <w:rsid w:val="00003110"/>
    <w:rsid w:val="0000450B"/>
    <w:rsid w:val="0000453C"/>
    <w:rsid w:val="0000499E"/>
    <w:rsid w:val="00004FDD"/>
    <w:rsid w:val="0000526D"/>
    <w:rsid w:val="00006842"/>
    <w:rsid w:val="000101A9"/>
    <w:rsid w:val="00011003"/>
    <w:rsid w:val="00011946"/>
    <w:rsid w:val="00011C0A"/>
    <w:rsid w:val="0001284E"/>
    <w:rsid w:val="000134BF"/>
    <w:rsid w:val="00016FAB"/>
    <w:rsid w:val="0001783E"/>
    <w:rsid w:val="000208F0"/>
    <w:rsid w:val="0002118D"/>
    <w:rsid w:val="00022821"/>
    <w:rsid w:val="00022D55"/>
    <w:rsid w:val="0002308C"/>
    <w:rsid w:val="0002412D"/>
    <w:rsid w:val="00025C19"/>
    <w:rsid w:val="0002646D"/>
    <w:rsid w:val="000267E6"/>
    <w:rsid w:val="00027E49"/>
    <w:rsid w:val="000306A5"/>
    <w:rsid w:val="00030F20"/>
    <w:rsid w:val="000319A0"/>
    <w:rsid w:val="00032096"/>
    <w:rsid w:val="00032535"/>
    <w:rsid w:val="00032BFC"/>
    <w:rsid w:val="000348A1"/>
    <w:rsid w:val="00035906"/>
    <w:rsid w:val="00037350"/>
    <w:rsid w:val="00037722"/>
    <w:rsid w:val="00040DCC"/>
    <w:rsid w:val="00041749"/>
    <w:rsid w:val="000419B8"/>
    <w:rsid w:val="000429A4"/>
    <w:rsid w:val="0004350D"/>
    <w:rsid w:val="0004411A"/>
    <w:rsid w:val="00044317"/>
    <w:rsid w:val="00044E62"/>
    <w:rsid w:val="00047155"/>
    <w:rsid w:val="00047984"/>
    <w:rsid w:val="00054130"/>
    <w:rsid w:val="00054D9C"/>
    <w:rsid w:val="00056051"/>
    <w:rsid w:val="00056746"/>
    <w:rsid w:val="00057573"/>
    <w:rsid w:val="000621F1"/>
    <w:rsid w:val="0006268E"/>
    <w:rsid w:val="000638D6"/>
    <w:rsid w:val="000639FA"/>
    <w:rsid w:val="0006403B"/>
    <w:rsid w:val="000646DB"/>
    <w:rsid w:val="000666EA"/>
    <w:rsid w:val="00066BB2"/>
    <w:rsid w:val="00066E3B"/>
    <w:rsid w:val="0006755A"/>
    <w:rsid w:val="00073C35"/>
    <w:rsid w:val="000753DC"/>
    <w:rsid w:val="0008018C"/>
    <w:rsid w:val="000801AF"/>
    <w:rsid w:val="00080795"/>
    <w:rsid w:val="000826CD"/>
    <w:rsid w:val="00082922"/>
    <w:rsid w:val="000835C2"/>
    <w:rsid w:val="00086E43"/>
    <w:rsid w:val="00087739"/>
    <w:rsid w:val="00087B03"/>
    <w:rsid w:val="000918EE"/>
    <w:rsid w:val="000935F9"/>
    <w:rsid w:val="00096205"/>
    <w:rsid w:val="000973E6"/>
    <w:rsid w:val="000A0312"/>
    <w:rsid w:val="000A225A"/>
    <w:rsid w:val="000A2676"/>
    <w:rsid w:val="000A2C2F"/>
    <w:rsid w:val="000A2EAF"/>
    <w:rsid w:val="000A392E"/>
    <w:rsid w:val="000A4765"/>
    <w:rsid w:val="000A6077"/>
    <w:rsid w:val="000A7061"/>
    <w:rsid w:val="000A70AD"/>
    <w:rsid w:val="000B4545"/>
    <w:rsid w:val="000B4FCC"/>
    <w:rsid w:val="000B61B7"/>
    <w:rsid w:val="000B6E44"/>
    <w:rsid w:val="000B733F"/>
    <w:rsid w:val="000B7C92"/>
    <w:rsid w:val="000C1A1D"/>
    <w:rsid w:val="000C3817"/>
    <w:rsid w:val="000C618C"/>
    <w:rsid w:val="000C642E"/>
    <w:rsid w:val="000C702A"/>
    <w:rsid w:val="000D1893"/>
    <w:rsid w:val="000D4A17"/>
    <w:rsid w:val="000D4EAA"/>
    <w:rsid w:val="000D58B6"/>
    <w:rsid w:val="000D58FD"/>
    <w:rsid w:val="000D798D"/>
    <w:rsid w:val="000D7F43"/>
    <w:rsid w:val="000E0679"/>
    <w:rsid w:val="000E1E36"/>
    <w:rsid w:val="000E23D7"/>
    <w:rsid w:val="000E4651"/>
    <w:rsid w:val="000E51B8"/>
    <w:rsid w:val="000E5B10"/>
    <w:rsid w:val="000E69BC"/>
    <w:rsid w:val="000E77CE"/>
    <w:rsid w:val="000F00F0"/>
    <w:rsid w:val="000F0E91"/>
    <w:rsid w:val="000F1425"/>
    <w:rsid w:val="000F2AC1"/>
    <w:rsid w:val="000F3CAA"/>
    <w:rsid w:val="000F3CC2"/>
    <w:rsid w:val="000F4909"/>
    <w:rsid w:val="000F4978"/>
    <w:rsid w:val="00100E3A"/>
    <w:rsid w:val="00101234"/>
    <w:rsid w:val="00101939"/>
    <w:rsid w:val="00102039"/>
    <w:rsid w:val="00103A8E"/>
    <w:rsid w:val="00104557"/>
    <w:rsid w:val="00104581"/>
    <w:rsid w:val="00104E93"/>
    <w:rsid w:val="00105F80"/>
    <w:rsid w:val="00106A2A"/>
    <w:rsid w:val="00106E3B"/>
    <w:rsid w:val="00107D29"/>
    <w:rsid w:val="0011107A"/>
    <w:rsid w:val="0011215B"/>
    <w:rsid w:val="00112184"/>
    <w:rsid w:val="001127B7"/>
    <w:rsid w:val="00113F8B"/>
    <w:rsid w:val="00117321"/>
    <w:rsid w:val="00120165"/>
    <w:rsid w:val="0012117D"/>
    <w:rsid w:val="0012150A"/>
    <w:rsid w:val="001215D4"/>
    <w:rsid w:val="0012163F"/>
    <w:rsid w:val="001218AC"/>
    <w:rsid w:val="00121AB5"/>
    <w:rsid w:val="00123522"/>
    <w:rsid w:val="001267FD"/>
    <w:rsid w:val="001272EA"/>
    <w:rsid w:val="0013021E"/>
    <w:rsid w:val="0013045D"/>
    <w:rsid w:val="00131272"/>
    <w:rsid w:val="001321F8"/>
    <w:rsid w:val="00132908"/>
    <w:rsid w:val="0013454F"/>
    <w:rsid w:val="00134EE3"/>
    <w:rsid w:val="00135F2B"/>
    <w:rsid w:val="001361A2"/>
    <w:rsid w:val="00136CBA"/>
    <w:rsid w:val="00137656"/>
    <w:rsid w:val="00140637"/>
    <w:rsid w:val="00142062"/>
    <w:rsid w:val="001433A4"/>
    <w:rsid w:val="001433B7"/>
    <w:rsid w:val="00144EE2"/>
    <w:rsid w:val="00150502"/>
    <w:rsid w:val="0015189D"/>
    <w:rsid w:val="00152AE4"/>
    <w:rsid w:val="00152B3A"/>
    <w:rsid w:val="00152B7F"/>
    <w:rsid w:val="00154253"/>
    <w:rsid w:val="001549D6"/>
    <w:rsid w:val="00156816"/>
    <w:rsid w:val="00156D26"/>
    <w:rsid w:val="00157391"/>
    <w:rsid w:val="00157B9B"/>
    <w:rsid w:val="001600A0"/>
    <w:rsid w:val="001604A9"/>
    <w:rsid w:val="00161A62"/>
    <w:rsid w:val="00163779"/>
    <w:rsid w:val="0016544A"/>
    <w:rsid w:val="00166C75"/>
    <w:rsid w:val="001710E4"/>
    <w:rsid w:val="001739BC"/>
    <w:rsid w:val="0017523E"/>
    <w:rsid w:val="001755A9"/>
    <w:rsid w:val="0017635F"/>
    <w:rsid w:val="00176E28"/>
    <w:rsid w:val="001773D9"/>
    <w:rsid w:val="00177DD3"/>
    <w:rsid w:val="00180BE4"/>
    <w:rsid w:val="00180D89"/>
    <w:rsid w:val="00182472"/>
    <w:rsid w:val="00183E8A"/>
    <w:rsid w:val="00184FC9"/>
    <w:rsid w:val="001854EE"/>
    <w:rsid w:val="00185512"/>
    <w:rsid w:val="00185745"/>
    <w:rsid w:val="001859F3"/>
    <w:rsid w:val="00185E6C"/>
    <w:rsid w:val="0018716B"/>
    <w:rsid w:val="00187748"/>
    <w:rsid w:val="00191FC5"/>
    <w:rsid w:val="001926D9"/>
    <w:rsid w:val="00192C88"/>
    <w:rsid w:val="00192E46"/>
    <w:rsid w:val="001945FD"/>
    <w:rsid w:val="001958B6"/>
    <w:rsid w:val="0019667E"/>
    <w:rsid w:val="001968CA"/>
    <w:rsid w:val="001971F7"/>
    <w:rsid w:val="001973EC"/>
    <w:rsid w:val="00197BCA"/>
    <w:rsid w:val="00197FBC"/>
    <w:rsid w:val="001A0168"/>
    <w:rsid w:val="001A0A85"/>
    <w:rsid w:val="001A12B5"/>
    <w:rsid w:val="001A143B"/>
    <w:rsid w:val="001A2E46"/>
    <w:rsid w:val="001A429E"/>
    <w:rsid w:val="001A4F74"/>
    <w:rsid w:val="001A6AA1"/>
    <w:rsid w:val="001A7785"/>
    <w:rsid w:val="001B03DD"/>
    <w:rsid w:val="001B140C"/>
    <w:rsid w:val="001B3014"/>
    <w:rsid w:val="001B32C9"/>
    <w:rsid w:val="001B669B"/>
    <w:rsid w:val="001B78CF"/>
    <w:rsid w:val="001B7B2F"/>
    <w:rsid w:val="001C015E"/>
    <w:rsid w:val="001C3927"/>
    <w:rsid w:val="001C3BF2"/>
    <w:rsid w:val="001C4714"/>
    <w:rsid w:val="001C6286"/>
    <w:rsid w:val="001C67BA"/>
    <w:rsid w:val="001D09E0"/>
    <w:rsid w:val="001D17D2"/>
    <w:rsid w:val="001D27E6"/>
    <w:rsid w:val="001D30E6"/>
    <w:rsid w:val="001D3EF3"/>
    <w:rsid w:val="001D47CB"/>
    <w:rsid w:val="001D4DBA"/>
    <w:rsid w:val="001D57EE"/>
    <w:rsid w:val="001D5C0C"/>
    <w:rsid w:val="001D6B1E"/>
    <w:rsid w:val="001D6BF7"/>
    <w:rsid w:val="001D6D43"/>
    <w:rsid w:val="001D6EDE"/>
    <w:rsid w:val="001E0996"/>
    <w:rsid w:val="001E0F32"/>
    <w:rsid w:val="001E1667"/>
    <w:rsid w:val="001E192D"/>
    <w:rsid w:val="001E1AD8"/>
    <w:rsid w:val="001E2A0C"/>
    <w:rsid w:val="001E2D73"/>
    <w:rsid w:val="001E3612"/>
    <w:rsid w:val="001E43B8"/>
    <w:rsid w:val="001E4C4D"/>
    <w:rsid w:val="001E52D8"/>
    <w:rsid w:val="001E71E4"/>
    <w:rsid w:val="001F2C1F"/>
    <w:rsid w:val="001F2C55"/>
    <w:rsid w:val="001F35E4"/>
    <w:rsid w:val="001F551D"/>
    <w:rsid w:val="001F60CE"/>
    <w:rsid w:val="00201123"/>
    <w:rsid w:val="002016FD"/>
    <w:rsid w:val="002028FF"/>
    <w:rsid w:val="00202DDB"/>
    <w:rsid w:val="00206B59"/>
    <w:rsid w:val="0021053F"/>
    <w:rsid w:val="002107D4"/>
    <w:rsid w:val="00210D1F"/>
    <w:rsid w:val="00212AAA"/>
    <w:rsid w:val="00213B5A"/>
    <w:rsid w:val="002159CB"/>
    <w:rsid w:val="00215D2E"/>
    <w:rsid w:val="00215DD3"/>
    <w:rsid w:val="00217C27"/>
    <w:rsid w:val="00222A6E"/>
    <w:rsid w:val="00222F63"/>
    <w:rsid w:val="002230AD"/>
    <w:rsid w:val="002238C2"/>
    <w:rsid w:val="002258DF"/>
    <w:rsid w:val="002269A5"/>
    <w:rsid w:val="00227251"/>
    <w:rsid w:val="002308DD"/>
    <w:rsid w:val="002349C9"/>
    <w:rsid w:val="00234F75"/>
    <w:rsid w:val="002371DF"/>
    <w:rsid w:val="002374C9"/>
    <w:rsid w:val="002375A2"/>
    <w:rsid w:val="00240841"/>
    <w:rsid w:val="00240895"/>
    <w:rsid w:val="0024199E"/>
    <w:rsid w:val="0024440A"/>
    <w:rsid w:val="00245CC9"/>
    <w:rsid w:val="00245FE6"/>
    <w:rsid w:val="00251163"/>
    <w:rsid w:val="0025228C"/>
    <w:rsid w:val="0025267C"/>
    <w:rsid w:val="00252E32"/>
    <w:rsid w:val="00253587"/>
    <w:rsid w:val="002551CF"/>
    <w:rsid w:val="00255B54"/>
    <w:rsid w:val="00255C08"/>
    <w:rsid w:val="00255CE5"/>
    <w:rsid w:val="002576FA"/>
    <w:rsid w:val="00262011"/>
    <w:rsid w:val="0026240B"/>
    <w:rsid w:val="002635B2"/>
    <w:rsid w:val="00264B1A"/>
    <w:rsid w:val="00266AD2"/>
    <w:rsid w:val="00266D86"/>
    <w:rsid w:val="002670D3"/>
    <w:rsid w:val="00270AF8"/>
    <w:rsid w:val="00270CED"/>
    <w:rsid w:val="00271AB9"/>
    <w:rsid w:val="00272510"/>
    <w:rsid w:val="00272686"/>
    <w:rsid w:val="00272E1A"/>
    <w:rsid w:val="00273531"/>
    <w:rsid w:val="002737BC"/>
    <w:rsid w:val="00273B91"/>
    <w:rsid w:val="00274460"/>
    <w:rsid w:val="002750FC"/>
    <w:rsid w:val="00275B54"/>
    <w:rsid w:val="00275CB8"/>
    <w:rsid w:val="0027649C"/>
    <w:rsid w:val="00276F7C"/>
    <w:rsid w:val="002802E7"/>
    <w:rsid w:val="00281E31"/>
    <w:rsid w:val="00282CEB"/>
    <w:rsid w:val="0028366A"/>
    <w:rsid w:val="00284F41"/>
    <w:rsid w:val="00284FE5"/>
    <w:rsid w:val="00285FFB"/>
    <w:rsid w:val="00286814"/>
    <w:rsid w:val="00286F99"/>
    <w:rsid w:val="00290B9A"/>
    <w:rsid w:val="0029362B"/>
    <w:rsid w:val="0029399C"/>
    <w:rsid w:val="0029401B"/>
    <w:rsid w:val="00294488"/>
    <w:rsid w:val="0029487B"/>
    <w:rsid w:val="002976AB"/>
    <w:rsid w:val="002A07E2"/>
    <w:rsid w:val="002A29DD"/>
    <w:rsid w:val="002A2AC6"/>
    <w:rsid w:val="002A394C"/>
    <w:rsid w:val="002A5000"/>
    <w:rsid w:val="002A5338"/>
    <w:rsid w:val="002A698E"/>
    <w:rsid w:val="002A772F"/>
    <w:rsid w:val="002A7A38"/>
    <w:rsid w:val="002A7AE0"/>
    <w:rsid w:val="002A7C3A"/>
    <w:rsid w:val="002B0558"/>
    <w:rsid w:val="002B1091"/>
    <w:rsid w:val="002B10AF"/>
    <w:rsid w:val="002B27F5"/>
    <w:rsid w:val="002B4408"/>
    <w:rsid w:val="002B5336"/>
    <w:rsid w:val="002C2185"/>
    <w:rsid w:val="002C225A"/>
    <w:rsid w:val="002C28EE"/>
    <w:rsid w:val="002C2BEB"/>
    <w:rsid w:val="002C3A5E"/>
    <w:rsid w:val="002C40F0"/>
    <w:rsid w:val="002C4239"/>
    <w:rsid w:val="002C54B3"/>
    <w:rsid w:val="002C5F35"/>
    <w:rsid w:val="002D0490"/>
    <w:rsid w:val="002D1BA4"/>
    <w:rsid w:val="002D1DF4"/>
    <w:rsid w:val="002D220C"/>
    <w:rsid w:val="002D225A"/>
    <w:rsid w:val="002D30A9"/>
    <w:rsid w:val="002D32F6"/>
    <w:rsid w:val="002D48CA"/>
    <w:rsid w:val="002D5663"/>
    <w:rsid w:val="002D58C3"/>
    <w:rsid w:val="002D6863"/>
    <w:rsid w:val="002D6C93"/>
    <w:rsid w:val="002E012F"/>
    <w:rsid w:val="002E1493"/>
    <w:rsid w:val="002E3097"/>
    <w:rsid w:val="002E3F76"/>
    <w:rsid w:val="002E434A"/>
    <w:rsid w:val="002E4476"/>
    <w:rsid w:val="002E5893"/>
    <w:rsid w:val="002E5929"/>
    <w:rsid w:val="002E6304"/>
    <w:rsid w:val="002F0EE0"/>
    <w:rsid w:val="002F1184"/>
    <w:rsid w:val="002F1DD6"/>
    <w:rsid w:val="002F2AD4"/>
    <w:rsid w:val="002F46F0"/>
    <w:rsid w:val="002F5414"/>
    <w:rsid w:val="002F7506"/>
    <w:rsid w:val="002F7FA1"/>
    <w:rsid w:val="003004C1"/>
    <w:rsid w:val="003029A9"/>
    <w:rsid w:val="003029E2"/>
    <w:rsid w:val="003039EB"/>
    <w:rsid w:val="00303C5F"/>
    <w:rsid w:val="00304881"/>
    <w:rsid w:val="00305713"/>
    <w:rsid w:val="00305B8F"/>
    <w:rsid w:val="003070A2"/>
    <w:rsid w:val="00307AF2"/>
    <w:rsid w:val="00307C6D"/>
    <w:rsid w:val="00310230"/>
    <w:rsid w:val="00310EF3"/>
    <w:rsid w:val="00311F4D"/>
    <w:rsid w:val="00314558"/>
    <w:rsid w:val="003149E6"/>
    <w:rsid w:val="00314ADB"/>
    <w:rsid w:val="003159C3"/>
    <w:rsid w:val="003175CF"/>
    <w:rsid w:val="00320585"/>
    <w:rsid w:val="00321438"/>
    <w:rsid w:val="00321FC6"/>
    <w:rsid w:val="00323977"/>
    <w:rsid w:val="00325107"/>
    <w:rsid w:val="003256D9"/>
    <w:rsid w:val="00325E1B"/>
    <w:rsid w:val="003267EE"/>
    <w:rsid w:val="00326D40"/>
    <w:rsid w:val="00326D9E"/>
    <w:rsid w:val="003278B4"/>
    <w:rsid w:val="003305AF"/>
    <w:rsid w:val="00330F9E"/>
    <w:rsid w:val="0033126B"/>
    <w:rsid w:val="00331361"/>
    <w:rsid w:val="00331E7E"/>
    <w:rsid w:val="0033393F"/>
    <w:rsid w:val="00333DB4"/>
    <w:rsid w:val="0033457F"/>
    <w:rsid w:val="00335F16"/>
    <w:rsid w:val="00337B98"/>
    <w:rsid w:val="00337BC4"/>
    <w:rsid w:val="00337EA0"/>
    <w:rsid w:val="003418CA"/>
    <w:rsid w:val="00341A9F"/>
    <w:rsid w:val="0034226A"/>
    <w:rsid w:val="003422DE"/>
    <w:rsid w:val="003463C1"/>
    <w:rsid w:val="00346A65"/>
    <w:rsid w:val="00346BE6"/>
    <w:rsid w:val="00347B18"/>
    <w:rsid w:val="0035000E"/>
    <w:rsid w:val="00351FFC"/>
    <w:rsid w:val="00352755"/>
    <w:rsid w:val="003565D8"/>
    <w:rsid w:val="00357DF0"/>
    <w:rsid w:val="003603B8"/>
    <w:rsid w:val="00360805"/>
    <w:rsid w:val="00361B39"/>
    <w:rsid w:val="003631D7"/>
    <w:rsid w:val="00364679"/>
    <w:rsid w:val="00364FA6"/>
    <w:rsid w:val="00365A3F"/>
    <w:rsid w:val="00365D7C"/>
    <w:rsid w:val="00366C4C"/>
    <w:rsid w:val="003702F1"/>
    <w:rsid w:val="00370645"/>
    <w:rsid w:val="00370936"/>
    <w:rsid w:val="00371155"/>
    <w:rsid w:val="00373565"/>
    <w:rsid w:val="00374A71"/>
    <w:rsid w:val="003757C5"/>
    <w:rsid w:val="003763DF"/>
    <w:rsid w:val="003802BD"/>
    <w:rsid w:val="00380495"/>
    <w:rsid w:val="0038221F"/>
    <w:rsid w:val="00382C68"/>
    <w:rsid w:val="00382F1B"/>
    <w:rsid w:val="0038315D"/>
    <w:rsid w:val="00383F03"/>
    <w:rsid w:val="003840B6"/>
    <w:rsid w:val="00384989"/>
    <w:rsid w:val="0038504C"/>
    <w:rsid w:val="00385074"/>
    <w:rsid w:val="00385D76"/>
    <w:rsid w:val="00386476"/>
    <w:rsid w:val="00386686"/>
    <w:rsid w:val="00386A77"/>
    <w:rsid w:val="00386BA0"/>
    <w:rsid w:val="003870A2"/>
    <w:rsid w:val="00387311"/>
    <w:rsid w:val="00390FE8"/>
    <w:rsid w:val="003912AB"/>
    <w:rsid w:val="00392C82"/>
    <w:rsid w:val="0039402B"/>
    <w:rsid w:val="003940DF"/>
    <w:rsid w:val="003972AE"/>
    <w:rsid w:val="003976D6"/>
    <w:rsid w:val="003A07BA"/>
    <w:rsid w:val="003A2A4C"/>
    <w:rsid w:val="003A302A"/>
    <w:rsid w:val="003A5090"/>
    <w:rsid w:val="003A5667"/>
    <w:rsid w:val="003A5CA8"/>
    <w:rsid w:val="003A684C"/>
    <w:rsid w:val="003A6C69"/>
    <w:rsid w:val="003B0C73"/>
    <w:rsid w:val="003B117A"/>
    <w:rsid w:val="003B1AA5"/>
    <w:rsid w:val="003B1B9B"/>
    <w:rsid w:val="003B47AD"/>
    <w:rsid w:val="003B5D5A"/>
    <w:rsid w:val="003B6AEB"/>
    <w:rsid w:val="003B78B1"/>
    <w:rsid w:val="003C0F7D"/>
    <w:rsid w:val="003C1DE7"/>
    <w:rsid w:val="003C3609"/>
    <w:rsid w:val="003C38C3"/>
    <w:rsid w:val="003C458C"/>
    <w:rsid w:val="003C49DE"/>
    <w:rsid w:val="003C5445"/>
    <w:rsid w:val="003C6754"/>
    <w:rsid w:val="003D08DC"/>
    <w:rsid w:val="003D1AD7"/>
    <w:rsid w:val="003D1BBE"/>
    <w:rsid w:val="003D307D"/>
    <w:rsid w:val="003D3168"/>
    <w:rsid w:val="003D322A"/>
    <w:rsid w:val="003D4759"/>
    <w:rsid w:val="003D49C7"/>
    <w:rsid w:val="003D71A5"/>
    <w:rsid w:val="003E0878"/>
    <w:rsid w:val="003E12CF"/>
    <w:rsid w:val="003E154F"/>
    <w:rsid w:val="003E1DEC"/>
    <w:rsid w:val="003E29A0"/>
    <w:rsid w:val="003E2E92"/>
    <w:rsid w:val="003E4AB6"/>
    <w:rsid w:val="003E4E28"/>
    <w:rsid w:val="003E53B8"/>
    <w:rsid w:val="003E5F76"/>
    <w:rsid w:val="003E6895"/>
    <w:rsid w:val="003E7FEF"/>
    <w:rsid w:val="003F01D9"/>
    <w:rsid w:val="003F219B"/>
    <w:rsid w:val="003F570D"/>
    <w:rsid w:val="003F69CD"/>
    <w:rsid w:val="003F6CBA"/>
    <w:rsid w:val="00401896"/>
    <w:rsid w:val="0040261A"/>
    <w:rsid w:val="00402A9C"/>
    <w:rsid w:val="00403103"/>
    <w:rsid w:val="00404893"/>
    <w:rsid w:val="00405532"/>
    <w:rsid w:val="00405BDE"/>
    <w:rsid w:val="004068E0"/>
    <w:rsid w:val="0041022A"/>
    <w:rsid w:val="00410CDA"/>
    <w:rsid w:val="00410DB0"/>
    <w:rsid w:val="0041310B"/>
    <w:rsid w:val="004131FD"/>
    <w:rsid w:val="0041350E"/>
    <w:rsid w:val="00414477"/>
    <w:rsid w:val="00414536"/>
    <w:rsid w:val="00414E89"/>
    <w:rsid w:val="0041507F"/>
    <w:rsid w:val="0041538F"/>
    <w:rsid w:val="00416103"/>
    <w:rsid w:val="00416675"/>
    <w:rsid w:val="0042044F"/>
    <w:rsid w:val="00420FB2"/>
    <w:rsid w:val="0042159A"/>
    <w:rsid w:val="00421A8D"/>
    <w:rsid w:val="0042213D"/>
    <w:rsid w:val="00422278"/>
    <w:rsid w:val="00422A2C"/>
    <w:rsid w:val="00423707"/>
    <w:rsid w:val="0042381B"/>
    <w:rsid w:val="004239B8"/>
    <w:rsid w:val="004259C5"/>
    <w:rsid w:val="00425EF0"/>
    <w:rsid w:val="0042763B"/>
    <w:rsid w:val="0043152A"/>
    <w:rsid w:val="00432030"/>
    <w:rsid w:val="00432EA7"/>
    <w:rsid w:val="00433488"/>
    <w:rsid w:val="00433B58"/>
    <w:rsid w:val="00434A46"/>
    <w:rsid w:val="00435AEF"/>
    <w:rsid w:val="00437615"/>
    <w:rsid w:val="00440A17"/>
    <w:rsid w:val="00440E41"/>
    <w:rsid w:val="00440F57"/>
    <w:rsid w:val="00443512"/>
    <w:rsid w:val="004435E3"/>
    <w:rsid w:val="00443900"/>
    <w:rsid w:val="0044464A"/>
    <w:rsid w:val="00445362"/>
    <w:rsid w:val="004454D9"/>
    <w:rsid w:val="00446A02"/>
    <w:rsid w:val="00446C78"/>
    <w:rsid w:val="004501FB"/>
    <w:rsid w:val="00450762"/>
    <w:rsid w:val="004517F6"/>
    <w:rsid w:val="004529EA"/>
    <w:rsid w:val="0045458F"/>
    <w:rsid w:val="00454C86"/>
    <w:rsid w:val="0045513C"/>
    <w:rsid w:val="00456564"/>
    <w:rsid w:val="00462C00"/>
    <w:rsid w:val="00463F73"/>
    <w:rsid w:val="00464AA8"/>
    <w:rsid w:val="004677F5"/>
    <w:rsid w:val="004711EA"/>
    <w:rsid w:val="0047138C"/>
    <w:rsid w:val="004725EC"/>
    <w:rsid w:val="00472A2F"/>
    <w:rsid w:val="00474AAF"/>
    <w:rsid w:val="00475483"/>
    <w:rsid w:val="00476B3F"/>
    <w:rsid w:val="00480B48"/>
    <w:rsid w:val="0048137E"/>
    <w:rsid w:val="0048142D"/>
    <w:rsid w:val="00481F58"/>
    <w:rsid w:val="00481FFD"/>
    <w:rsid w:val="004823DC"/>
    <w:rsid w:val="00482D38"/>
    <w:rsid w:val="00482E9B"/>
    <w:rsid w:val="004833DB"/>
    <w:rsid w:val="00483487"/>
    <w:rsid w:val="00484A22"/>
    <w:rsid w:val="00484D03"/>
    <w:rsid w:val="0048622A"/>
    <w:rsid w:val="004865FA"/>
    <w:rsid w:val="0048675A"/>
    <w:rsid w:val="00487D03"/>
    <w:rsid w:val="0049143B"/>
    <w:rsid w:val="00495397"/>
    <w:rsid w:val="0049594A"/>
    <w:rsid w:val="00497840"/>
    <w:rsid w:val="004A0728"/>
    <w:rsid w:val="004A11C2"/>
    <w:rsid w:val="004A13AB"/>
    <w:rsid w:val="004A2270"/>
    <w:rsid w:val="004A3929"/>
    <w:rsid w:val="004A3E84"/>
    <w:rsid w:val="004A49AE"/>
    <w:rsid w:val="004A5F85"/>
    <w:rsid w:val="004A7779"/>
    <w:rsid w:val="004A779E"/>
    <w:rsid w:val="004A7AA4"/>
    <w:rsid w:val="004B2159"/>
    <w:rsid w:val="004B35AA"/>
    <w:rsid w:val="004B487C"/>
    <w:rsid w:val="004B5147"/>
    <w:rsid w:val="004B5A72"/>
    <w:rsid w:val="004B65DB"/>
    <w:rsid w:val="004B722E"/>
    <w:rsid w:val="004B72CF"/>
    <w:rsid w:val="004B78C5"/>
    <w:rsid w:val="004C0EF8"/>
    <w:rsid w:val="004C1A52"/>
    <w:rsid w:val="004C2180"/>
    <w:rsid w:val="004C2AAF"/>
    <w:rsid w:val="004C2F35"/>
    <w:rsid w:val="004C43C8"/>
    <w:rsid w:val="004C56C3"/>
    <w:rsid w:val="004C5B0C"/>
    <w:rsid w:val="004C5D72"/>
    <w:rsid w:val="004C728B"/>
    <w:rsid w:val="004C78FC"/>
    <w:rsid w:val="004C7B7A"/>
    <w:rsid w:val="004D0148"/>
    <w:rsid w:val="004D07A0"/>
    <w:rsid w:val="004D1FE7"/>
    <w:rsid w:val="004D2B06"/>
    <w:rsid w:val="004D3A9A"/>
    <w:rsid w:val="004D3DC9"/>
    <w:rsid w:val="004D480E"/>
    <w:rsid w:val="004D4894"/>
    <w:rsid w:val="004D66B2"/>
    <w:rsid w:val="004D70CF"/>
    <w:rsid w:val="004D760D"/>
    <w:rsid w:val="004D7B3D"/>
    <w:rsid w:val="004E0B8B"/>
    <w:rsid w:val="004E1319"/>
    <w:rsid w:val="004E45A1"/>
    <w:rsid w:val="004E475A"/>
    <w:rsid w:val="004E4DC1"/>
    <w:rsid w:val="004E5358"/>
    <w:rsid w:val="004E5484"/>
    <w:rsid w:val="004E6489"/>
    <w:rsid w:val="004E67BB"/>
    <w:rsid w:val="004E685D"/>
    <w:rsid w:val="004E6CBC"/>
    <w:rsid w:val="004E7C72"/>
    <w:rsid w:val="004F03B7"/>
    <w:rsid w:val="004F21D6"/>
    <w:rsid w:val="004F23DB"/>
    <w:rsid w:val="004F2704"/>
    <w:rsid w:val="004F3848"/>
    <w:rsid w:val="004F4FC6"/>
    <w:rsid w:val="004F51AE"/>
    <w:rsid w:val="004F56FE"/>
    <w:rsid w:val="00501CCF"/>
    <w:rsid w:val="00502239"/>
    <w:rsid w:val="0050225C"/>
    <w:rsid w:val="00502A37"/>
    <w:rsid w:val="00502CBD"/>
    <w:rsid w:val="00502DE7"/>
    <w:rsid w:val="00504046"/>
    <w:rsid w:val="0050498D"/>
    <w:rsid w:val="005052FB"/>
    <w:rsid w:val="0050563F"/>
    <w:rsid w:val="005109F7"/>
    <w:rsid w:val="005110C1"/>
    <w:rsid w:val="005119C8"/>
    <w:rsid w:val="005138C3"/>
    <w:rsid w:val="00513E96"/>
    <w:rsid w:val="0051421B"/>
    <w:rsid w:val="005143EA"/>
    <w:rsid w:val="00515145"/>
    <w:rsid w:val="005153A0"/>
    <w:rsid w:val="00515C39"/>
    <w:rsid w:val="00516637"/>
    <w:rsid w:val="005166DE"/>
    <w:rsid w:val="00516D7C"/>
    <w:rsid w:val="00520651"/>
    <w:rsid w:val="00520CFD"/>
    <w:rsid w:val="00522192"/>
    <w:rsid w:val="00522288"/>
    <w:rsid w:val="005239E6"/>
    <w:rsid w:val="00524070"/>
    <w:rsid w:val="005241C9"/>
    <w:rsid w:val="005251EE"/>
    <w:rsid w:val="00526415"/>
    <w:rsid w:val="005319A1"/>
    <w:rsid w:val="00531EA7"/>
    <w:rsid w:val="00531EFB"/>
    <w:rsid w:val="005320BD"/>
    <w:rsid w:val="005324C9"/>
    <w:rsid w:val="00533953"/>
    <w:rsid w:val="0053519B"/>
    <w:rsid w:val="00535FB8"/>
    <w:rsid w:val="00536E72"/>
    <w:rsid w:val="005435BD"/>
    <w:rsid w:val="00543CBC"/>
    <w:rsid w:val="0054651C"/>
    <w:rsid w:val="00546DBD"/>
    <w:rsid w:val="00547040"/>
    <w:rsid w:val="00550488"/>
    <w:rsid w:val="00550D0C"/>
    <w:rsid w:val="00552DC2"/>
    <w:rsid w:val="00552F84"/>
    <w:rsid w:val="00554645"/>
    <w:rsid w:val="005575C9"/>
    <w:rsid w:val="00557FF1"/>
    <w:rsid w:val="00561363"/>
    <w:rsid w:val="00561B57"/>
    <w:rsid w:val="00561DB4"/>
    <w:rsid w:val="0056311E"/>
    <w:rsid w:val="00563D43"/>
    <w:rsid w:val="00563E7B"/>
    <w:rsid w:val="00564998"/>
    <w:rsid w:val="005661B5"/>
    <w:rsid w:val="0056657E"/>
    <w:rsid w:val="00566D80"/>
    <w:rsid w:val="00566DA1"/>
    <w:rsid w:val="00567E1C"/>
    <w:rsid w:val="00570173"/>
    <w:rsid w:val="005706AB"/>
    <w:rsid w:val="005706E4"/>
    <w:rsid w:val="00570AAB"/>
    <w:rsid w:val="00572065"/>
    <w:rsid w:val="00572B9E"/>
    <w:rsid w:val="0057333F"/>
    <w:rsid w:val="0057462A"/>
    <w:rsid w:val="005756F1"/>
    <w:rsid w:val="00575FEF"/>
    <w:rsid w:val="00576A0F"/>
    <w:rsid w:val="005812A0"/>
    <w:rsid w:val="00581DAC"/>
    <w:rsid w:val="005824CB"/>
    <w:rsid w:val="00582742"/>
    <w:rsid w:val="00582762"/>
    <w:rsid w:val="00582C57"/>
    <w:rsid w:val="00583AB6"/>
    <w:rsid w:val="005847F6"/>
    <w:rsid w:val="00584D1A"/>
    <w:rsid w:val="005865D6"/>
    <w:rsid w:val="00586D56"/>
    <w:rsid w:val="00586E2C"/>
    <w:rsid w:val="00586F2A"/>
    <w:rsid w:val="005874A0"/>
    <w:rsid w:val="005907E7"/>
    <w:rsid w:val="005916BE"/>
    <w:rsid w:val="005916E4"/>
    <w:rsid w:val="0059185D"/>
    <w:rsid w:val="00592A16"/>
    <w:rsid w:val="0059431D"/>
    <w:rsid w:val="00594A5A"/>
    <w:rsid w:val="005951C0"/>
    <w:rsid w:val="0059615C"/>
    <w:rsid w:val="005966EE"/>
    <w:rsid w:val="00597818"/>
    <w:rsid w:val="005A0C7C"/>
    <w:rsid w:val="005A1892"/>
    <w:rsid w:val="005A55CB"/>
    <w:rsid w:val="005A6239"/>
    <w:rsid w:val="005A654C"/>
    <w:rsid w:val="005A7CF5"/>
    <w:rsid w:val="005B1DA2"/>
    <w:rsid w:val="005B1ECA"/>
    <w:rsid w:val="005B2382"/>
    <w:rsid w:val="005B4A1A"/>
    <w:rsid w:val="005B4A4A"/>
    <w:rsid w:val="005B5AB0"/>
    <w:rsid w:val="005B6334"/>
    <w:rsid w:val="005B674D"/>
    <w:rsid w:val="005B6F89"/>
    <w:rsid w:val="005B744E"/>
    <w:rsid w:val="005C1ED7"/>
    <w:rsid w:val="005C20FE"/>
    <w:rsid w:val="005C2344"/>
    <w:rsid w:val="005C299E"/>
    <w:rsid w:val="005C2BC6"/>
    <w:rsid w:val="005C2DE7"/>
    <w:rsid w:val="005C4BEB"/>
    <w:rsid w:val="005C53BD"/>
    <w:rsid w:val="005C5FBE"/>
    <w:rsid w:val="005C76C3"/>
    <w:rsid w:val="005C7D79"/>
    <w:rsid w:val="005D09F4"/>
    <w:rsid w:val="005D0B16"/>
    <w:rsid w:val="005D146C"/>
    <w:rsid w:val="005D174F"/>
    <w:rsid w:val="005D2069"/>
    <w:rsid w:val="005D23C8"/>
    <w:rsid w:val="005D3930"/>
    <w:rsid w:val="005D53FD"/>
    <w:rsid w:val="005D5A16"/>
    <w:rsid w:val="005D6E16"/>
    <w:rsid w:val="005D6F1E"/>
    <w:rsid w:val="005E085A"/>
    <w:rsid w:val="005E1B46"/>
    <w:rsid w:val="005E2E91"/>
    <w:rsid w:val="005E36E1"/>
    <w:rsid w:val="005E4D0A"/>
    <w:rsid w:val="005E56AB"/>
    <w:rsid w:val="005E6518"/>
    <w:rsid w:val="005E6C24"/>
    <w:rsid w:val="005F0AF8"/>
    <w:rsid w:val="005F0B26"/>
    <w:rsid w:val="005F1C06"/>
    <w:rsid w:val="005F1C1E"/>
    <w:rsid w:val="005F3536"/>
    <w:rsid w:val="005F373B"/>
    <w:rsid w:val="005F38E0"/>
    <w:rsid w:val="005F3C81"/>
    <w:rsid w:val="005F4421"/>
    <w:rsid w:val="005F461E"/>
    <w:rsid w:val="005F5A09"/>
    <w:rsid w:val="006003F7"/>
    <w:rsid w:val="00600421"/>
    <w:rsid w:val="00600C59"/>
    <w:rsid w:val="00601561"/>
    <w:rsid w:val="00601B18"/>
    <w:rsid w:val="00601EEB"/>
    <w:rsid w:val="00602702"/>
    <w:rsid w:val="006033FE"/>
    <w:rsid w:val="006037CA"/>
    <w:rsid w:val="0060398E"/>
    <w:rsid w:val="00603D9E"/>
    <w:rsid w:val="00604224"/>
    <w:rsid w:val="0060461E"/>
    <w:rsid w:val="00604927"/>
    <w:rsid w:val="006060D7"/>
    <w:rsid w:val="006069C1"/>
    <w:rsid w:val="006101C5"/>
    <w:rsid w:val="00610BBA"/>
    <w:rsid w:val="00610FB8"/>
    <w:rsid w:val="00611B46"/>
    <w:rsid w:val="00613CC5"/>
    <w:rsid w:val="00616064"/>
    <w:rsid w:val="00616896"/>
    <w:rsid w:val="006174EC"/>
    <w:rsid w:val="00617E11"/>
    <w:rsid w:val="006208D5"/>
    <w:rsid w:val="00620C5A"/>
    <w:rsid w:val="00620CEA"/>
    <w:rsid w:val="00621428"/>
    <w:rsid w:val="00621A85"/>
    <w:rsid w:val="00622372"/>
    <w:rsid w:val="006226E8"/>
    <w:rsid w:val="00622735"/>
    <w:rsid w:val="0062406F"/>
    <w:rsid w:val="00626C09"/>
    <w:rsid w:val="00630377"/>
    <w:rsid w:val="006307E9"/>
    <w:rsid w:val="00632326"/>
    <w:rsid w:val="00633E62"/>
    <w:rsid w:val="00634260"/>
    <w:rsid w:val="00636470"/>
    <w:rsid w:val="006368C3"/>
    <w:rsid w:val="00640CA7"/>
    <w:rsid w:val="006434F7"/>
    <w:rsid w:val="00644B57"/>
    <w:rsid w:val="00645124"/>
    <w:rsid w:val="00645F42"/>
    <w:rsid w:val="00646B8C"/>
    <w:rsid w:val="00646C96"/>
    <w:rsid w:val="00651EFA"/>
    <w:rsid w:val="00651F31"/>
    <w:rsid w:val="00652D32"/>
    <w:rsid w:val="00653D47"/>
    <w:rsid w:val="00653F28"/>
    <w:rsid w:val="00654371"/>
    <w:rsid w:val="00655BFE"/>
    <w:rsid w:val="00655DE6"/>
    <w:rsid w:val="006565A6"/>
    <w:rsid w:val="00656CAD"/>
    <w:rsid w:val="00657EF3"/>
    <w:rsid w:val="00660EF6"/>
    <w:rsid w:val="0066296A"/>
    <w:rsid w:val="00662E4B"/>
    <w:rsid w:val="00663AA6"/>
    <w:rsid w:val="0066552A"/>
    <w:rsid w:val="006661AE"/>
    <w:rsid w:val="0066712F"/>
    <w:rsid w:val="006671BD"/>
    <w:rsid w:val="00667EF9"/>
    <w:rsid w:val="00671037"/>
    <w:rsid w:val="0067293B"/>
    <w:rsid w:val="0067429F"/>
    <w:rsid w:val="00676B09"/>
    <w:rsid w:val="0067707C"/>
    <w:rsid w:val="0068031F"/>
    <w:rsid w:val="00680F9F"/>
    <w:rsid w:val="00681596"/>
    <w:rsid w:val="006820F5"/>
    <w:rsid w:val="00682295"/>
    <w:rsid w:val="0068505D"/>
    <w:rsid w:val="0068526D"/>
    <w:rsid w:val="00686725"/>
    <w:rsid w:val="0069066E"/>
    <w:rsid w:val="006907B5"/>
    <w:rsid w:val="00691B18"/>
    <w:rsid w:val="00691BE5"/>
    <w:rsid w:val="00693EC2"/>
    <w:rsid w:val="00694465"/>
    <w:rsid w:val="0069502E"/>
    <w:rsid w:val="006951ED"/>
    <w:rsid w:val="006978CF"/>
    <w:rsid w:val="006A0EC2"/>
    <w:rsid w:val="006A1EDE"/>
    <w:rsid w:val="006A36FF"/>
    <w:rsid w:val="006A3BE8"/>
    <w:rsid w:val="006A4F21"/>
    <w:rsid w:val="006A5125"/>
    <w:rsid w:val="006A5674"/>
    <w:rsid w:val="006A577D"/>
    <w:rsid w:val="006A610E"/>
    <w:rsid w:val="006A710A"/>
    <w:rsid w:val="006B022C"/>
    <w:rsid w:val="006B037F"/>
    <w:rsid w:val="006B0432"/>
    <w:rsid w:val="006B2C28"/>
    <w:rsid w:val="006B2DF8"/>
    <w:rsid w:val="006B386B"/>
    <w:rsid w:val="006B4CD5"/>
    <w:rsid w:val="006B534A"/>
    <w:rsid w:val="006B53DD"/>
    <w:rsid w:val="006B5D98"/>
    <w:rsid w:val="006B7CE8"/>
    <w:rsid w:val="006C101D"/>
    <w:rsid w:val="006C1690"/>
    <w:rsid w:val="006C19A5"/>
    <w:rsid w:val="006C1B2A"/>
    <w:rsid w:val="006C2CDE"/>
    <w:rsid w:val="006C30AB"/>
    <w:rsid w:val="006C3BA7"/>
    <w:rsid w:val="006C3E2C"/>
    <w:rsid w:val="006C4EC7"/>
    <w:rsid w:val="006C545B"/>
    <w:rsid w:val="006C5D9F"/>
    <w:rsid w:val="006C6F88"/>
    <w:rsid w:val="006D0A1F"/>
    <w:rsid w:val="006D0D25"/>
    <w:rsid w:val="006D10E8"/>
    <w:rsid w:val="006D3A9A"/>
    <w:rsid w:val="006D3D17"/>
    <w:rsid w:val="006D45D1"/>
    <w:rsid w:val="006D73F6"/>
    <w:rsid w:val="006D77C3"/>
    <w:rsid w:val="006E03A2"/>
    <w:rsid w:val="006E0483"/>
    <w:rsid w:val="006E0AC6"/>
    <w:rsid w:val="006E166C"/>
    <w:rsid w:val="006E257C"/>
    <w:rsid w:val="006E32B5"/>
    <w:rsid w:val="006E4532"/>
    <w:rsid w:val="006E613A"/>
    <w:rsid w:val="006E75EB"/>
    <w:rsid w:val="006E7D48"/>
    <w:rsid w:val="006F072E"/>
    <w:rsid w:val="006F1487"/>
    <w:rsid w:val="006F1BE6"/>
    <w:rsid w:val="006F3787"/>
    <w:rsid w:val="006F3CA6"/>
    <w:rsid w:val="006F4A48"/>
    <w:rsid w:val="006F4B36"/>
    <w:rsid w:val="006F6EB7"/>
    <w:rsid w:val="006F7083"/>
    <w:rsid w:val="006F7AF0"/>
    <w:rsid w:val="006F7ED4"/>
    <w:rsid w:val="007000CC"/>
    <w:rsid w:val="00700814"/>
    <w:rsid w:val="00701AEE"/>
    <w:rsid w:val="00702710"/>
    <w:rsid w:val="00702F6A"/>
    <w:rsid w:val="00703790"/>
    <w:rsid w:val="00703E2E"/>
    <w:rsid w:val="0070508D"/>
    <w:rsid w:val="00705E75"/>
    <w:rsid w:val="007060DF"/>
    <w:rsid w:val="00706FA8"/>
    <w:rsid w:val="0070799B"/>
    <w:rsid w:val="00711074"/>
    <w:rsid w:val="00711B73"/>
    <w:rsid w:val="00712786"/>
    <w:rsid w:val="007128D5"/>
    <w:rsid w:val="00713E02"/>
    <w:rsid w:val="00713EA4"/>
    <w:rsid w:val="0071418C"/>
    <w:rsid w:val="007157F5"/>
    <w:rsid w:val="00715C51"/>
    <w:rsid w:val="00716D82"/>
    <w:rsid w:val="007171B6"/>
    <w:rsid w:val="00721330"/>
    <w:rsid w:val="00721AAB"/>
    <w:rsid w:val="00722094"/>
    <w:rsid w:val="007244EF"/>
    <w:rsid w:val="007270C9"/>
    <w:rsid w:val="00730576"/>
    <w:rsid w:val="00732305"/>
    <w:rsid w:val="0073286D"/>
    <w:rsid w:val="00734F3D"/>
    <w:rsid w:val="00735320"/>
    <w:rsid w:val="00735B5A"/>
    <w:rsid w:val="0073688D"/>
    <w:rsid w:val="00737814"/>
    <w:rsid w:val="00737993"/>
    <w:rsid w:val="00740083"/>
    <w:rsid w:val="00740A87"/>
    <w:rsid w:val="00741AA2"/>
    <w:rsid w:val="00742382"/>
    <w:rsid w:val="0074266C"/>
    <w:rsid w:val="00742736"/>
    <w:rsid w:val="00743F21"/>
    <w:rsid w:val="00746DD6"/>
    <w:rsid w:val="00750A38"/>
    <w:rsid w:val="00750F5D"/>
    <w:rsid w:val="00751355"/>
    <w:rsid w:val="00753A5E"/>
    <w:rsid w:val="00753C15"/>
    <w:rsid w:val="00753DA1"/>
    <w:rsid w:val="007542F3"/>
    <w:rsid w:val="007546E6"/>
    <w:rsid w:val="00754A86"/>
    <w:rsid w:val="00755268"/>
    <w:rsid w:val="00756250"/>
    <w:rsid w:val="007562FE"/>
    <w:rsid w:val="00756556"/>
    <w:rsid w:val="00756849"/>
    <w:rsid w:val="00760C95"/>
    <w:rsid w:val="00761A8F"/>
    <w:rsid w:val="00761B9F"/>
    <w:rsid w:val="00761FD4"/>
    <w:rsid w:val="007641FB"/>
    <w:rsid w:val="00765CDB"/>
    <w:rsid w:val="007669F6"/>
    <w:rsid w:val="00770123"/>
    <w:rsid w:val="007706D6"/>
    <w:rsid w:val="00771648"/>
    <w:rsid w:val="00773893"/>
    <w:rsid w:val="00775D81"/>
    <w:rsid w:val="007804A8"/>
    <w:rsid w:val="00780549"/>
    <w:rsid w:val="0078282F"/>
    <w:rsid w:val="0078467A"/>
    <w:rsid w:val="00784F51"/>
    <w:rsid w:val="007875C5"/>
    <w:rsid w:val="007930B5"/>
    <w:rsid w:val="00793BE8"/>
    <w:rsid w:val="007941BC"/>
    <w:rsid w:val="0079582A"/>
    <w:rsid w:val="007969E8"/>
    <w:rsid w:val="007A1445"/>
    <w:rsid w:val="007A1D43"/>
    <w:rsid w:val="007A3F73"/>
    <w:rsid w:val="007A457E"/>
    <w:rsid w:val="007A57C8"/>
    <w:rsid w:val="007A60B9"/>
    <w:rsid w:val="007A728E"/>
    <w:rsid w:val="007B01B2"/>
    <w:rsid w:val="007B0C20"/>
    <w:rsid w:val="007B1EA6"/>
    <w:rsid w:val="007B2537"/>
    <w:rsid w:val="007B2668"/>
    <w:rsid w:val="007B2DC5"/>
    <w:rsid w:val="007B2DD0"/>
    <w:rsid w:val="007B2FB2"/>
    <w:rsid w:val="007B3A73"/>
    <w:rsid w:val="007B467F"/>
    <w:rsid w:val="007B6823"/>
    <w:rsid w:val="007B6BD2"/>
    <w:rsid w:val="007B6F3E"/>
    <w:rsid w:val="007B7292"/>
    <w:rsid w:val="007C01AB"/>
    <w:rsid w:val="007C039D"/>
    <w:rsid w:val="007C0A92"/>
    <w:rsid w:val="007C14DF"/>
    <w:rsid w:val="007C26AD"/>
    <w:rsid w:val="007C2DE4"/>
    <w:rsid w:val="007C31FC"/>
    <w:rsid w:val="007C33C8"/>
    <w:rsid w:val="007C3A06"/>
    <w:rsid w:val="007C41AE"/>
    <w:rsid w:val="007C4B93"/>
    <w:rsid w:val="007C660D"/>
    <w:rsid w:val="007D0E98"/>
    <w:rsid w:val="007D10F6"/>
    <w:rsid w:val="007D1824"/>
    <w:rsid w:val="007D1A43"/>
    <w:rsid w:val="007D1F26"/>
    <w:rsid w:val="007D27A8"/>
    <w:rsid w:val="007D3BBA"/>
    <w:rsid w:val="007D4145"/>
    <w:rsid w:val="007D47AE"/>
    <w:rsid w:val="007D4B64"/>
    <w:rsid w:val="007D4D67"/>
    <w:rsid w:val="007D4E90"/>
    <w:rsid w:val="007D6510"/>
    <w:rsid w:val="007D6E50"/>
    <w:rsid w:val="007D6E75"/>
    <w:rsid w:val="007D7372"/>
    <w:rsid w:val="007E0072"/>
    <w:rsid w:val="007E14CF"/>
    <w:rsid w:val="007E2336"/>
    <w:rsid w:val="007E2BFF"/>
    <w:rsid w:val="007E5942"/>
    <w:rsid w:val="007E611B"/>
    <w:rsid w:val="007F01BA"/>
    <w:rsid w:val="007F02C2"/>
    <w:rsid w:val="007F1901"/>
    <w:rsid w:val="007F229E"/>
    <w:rsid w:val="007F2EDF"/>
    <w:rsid w:val="007F5BFA"/>
    <w:rsid w:val="007F70E0"/>
    <w:rsid w:val="007F71C0"/>
    <w:rsid w:val="007F7A3C"/>
    <w:rsid w:val="007F7ADF"/>
    <w:rsid w:val="007F7E7F"/>
    <w:rsid w:val="00800534"/>
    <w:rsid w:val="00801AE8"/>
    <w:rsid w:val="00802049"/>
    <w:rsid w:val="0080315F"/>
    <w:rsid w:val="00803E66"/>
    <w:rsid w:val="0080491B"/>
    <w:rsid w:val="00805C1E"/>
    <w:rsid w:val="00806463"/>
    <w:rsid w:val="00806CAB"/>
    <w:rsid w:val="00807077"/>
    <w:rsid w:val="00810F35"/>
    <w:rsid w:val="00811681"/>
    <w:rsid w:val="00811E6B"/>
    <w:rsid w:val="0081288F"/>
    <w:rsid w:val="00813CF3"/>
    <w:rsid w:val="00815198"/>
    <w:rsid w:val="00815F6F"/>
    <w:rsid w:val="00816E03"/>
    <w:rsid w:val="00817562"/>
    <w:rsid w:val="008177FD"/>
    <w:rsid w:val="008207A1"/>
    <w:rsid w:val="008225DE"/>
    <w:rsid w:val="00823E98"/>
    <w:rsid w:val="00823F22"/>
    <w:rsid w:val="00824ACB"/>
    <w:rsid w:val="00826E23"/>
    <w:rsid w:val="00827407"/>
    <w:rsid w:val="00827F32"/>
    <w:rsid w:val="008307AA"/>
    <w:rsid w:val="00831F78"/>
    <w:rsid w:val="008332AF"/>
    <w:rsid w:val="0083346D"/>
    <w:rsid w:val="008337A2"/>
    <w:rsid w:val="0083499D"/>
    <w:rsid w:val="008354A8"/>
    <w:rsid w:val="0083583F"/>
    <w:rsid w:val="00836064"/>
    <w:rsid w:val="00836D42"/>
    <w:rsid w:val="00836DE7"/>
    <w:rsid w:val="008374AC"/>
    <w:rsid w:val="00840520"/>
    <w:rsid w:val="00840CB8"/>
    <w:rsid w:val="00841217"/>
    <w:rsid w:val="00842817"/>
    <w:rsid w:val="00844203"/>
    <w:rsid w:val="00844C60"/>
    <w:rsid w:val="00845BAB"/>
    <w:rsid w:val="008460FE"/>
    <w:rsid w:val="00846110"/>
    <w:rsid w:val="00846566"/>
    <w:rsid w:val="00846905"/>
    <w:rsid w:val="00847C63"/>
    <w:rsid w:val="0085081A"/>
    <w:rsid w:val="00850B0C"/>
    <w:rsid w:val="00850F0B"/>
    <w:rsid w:val="008518FB"/>
    <w:rsid w:val="0085487A"/>
    <w:rsid w:val="00856780"/>
    <w:rsid w:val="008600A4"/>
    <w:rsid w:val="00860230"/>
    <w:rsid w:val="00860979"/>
    <w:rsid w:val="00860E22"/>
    <w:rsid w:val="008628C9"/>
    <w:rsid w:val="00862CBC"/>
    <w:rsid w:val="00863701"/>
    <w:rsid w:val="008643A5"/>
    <w:rsid w:val="00865ADE"/>
    <w:rsid w:val="008701A3"/>
    <w:rsid w:val="00870404"/>
    <w:rsid w:val="00872682"/>
    <w:rsid w:val="00875401"/>
    <w:rsid w:val="008758FA"/>
    <w:rsid w:val="00876AD4"/>
    <w:rsid w:val="0087738E"/>
    <w:rsid w:val="00877CF1"/>
    <w:rsid w:val="00877E69"/>
    <w:rsid w:val="0088076F"/>
    <w:rsid w:val="00881590"/>
    <w:rsid w:val="00881714"/>
    <w:rsid w:val="008817FC"/>
    <w:rsid w:val="008827BE"/>
    <w:rsid w:val="008837E8"/>
    <w:rsid w:val="00884346"/>
    <w:rsid w:val="00884423"/>
    <w:rsid w:val="00885FE4"/>
    <w:rsid w:val="00890509"/>
    <w:rsid w:val="008930F6"/>
    <w:rsid w:val="008937C6"/>
    <w:rsid w:val="00894412"/>
    <w:rsid w:val="0089479D"/>
    <w:rsid w:val="00894DF7"/>
    <w:rsid w:val="0089505D"/>
    <w:rsid w:val="0089524B"/>
    <w:rsid w:val="0089566A"/>
    <w:rsid w:val="00895B51"/>
    <w:rsid w:val="00896C7F"/>
    <w:rsid w:val="008972E1"/>
    <w:rsid w:val="008A084F"/>
    <w:rsid w:val="008A18FB"/>
    <w:rsid w:val="008A2780"/>
    <w:rsid w:val="008A3A81"/>
    <w:rsid w:val="008A5B1D"/>
    <w:rsid w:val="008A7EA5"/>
    <w:rsid w:val="008A7FBD"/>
    <w:rsid w:val="008B5355"/>
    <w:rsid w:val="008B583D"/>
    <w:rsid w:val="008B6864"/>
    <w:rsid w:val="008B7F72"/>
    <w:rsid w:val="008B7FE1"/>
    <w:rsid w:val="008C050F"/>
    <w:rsid w:val="008C0696"/>
    <w:rsid w:val="008C0792"/>
    <w:rsid w:val="008C2EAE"/>
    <w:rsid w:val="008C3A4A"/>
    <w:rsid w:val="008C45B1"/>
    <w:rsid w:val="008C6AEF"/>
    <w:rsid w:val="008D1461"/>
    <w:rsid w:val="008D2C3F"/>
    <w:rsid w:val="008D4269"/>
    <w:rsid w:val="008D4B6F"/>
    <w:rsid w:val="008D4FCA"/>
    <w:rsid w:val="008D69CA"/>
    <w:rsid w:val="008D7511"/>
    <w:rsid w:val="008D7C8A"/>
    <w:rsid w:val="008D7F3D"/>
    <w:rsid w:val="008E0523"/>
    <w:rsid w:val="008E1053"/>
    <w:rsid w:val="008E14AF"/>
    <w:rsid w:val="008E1AF4"/>
    <w:rsid w:val="008E208E"/>
    <w:rsid w:val="008E7070"/>
    <w:rsid w:val="008F1F68"/>
    <w:rsid w:val="008F2816"/>
    <w:rsid w:val="008F2893"/>
    <w:rsid w:val="008F3D79"/>
    <w:rsid w:val="008F3EC0"/>
    <w:rsid w:val="008F557F"/>
    <w:rsid w:val="009007E4"/>
    <w:rsid w:val="00901D5F"/>
    <w:rsid w:val="00902CDE"/>
    <w:rsid w:val="00902E35"/>
    <w:rsid w:val="0090379F"/>
    <w:rsid w:val="00906259"/>
    <w:rsid w:val="009076CC"/>
    <w:rsid w:val="009076D0"/>
    <w:rsid w:val="00907A24"/>
    <w:rsid w:val="00907B62"/>
    <w:rsid w:val="009107A5"/>
    <w:rsid w:val="0091103B"/>
    <w:rsid w:val="009115A8"/>
    <w:rsid w:val="00913E3F"/>
    <w:rsid w:val="0091532A"/>
    <w:rsid w:val="0091546E"/>
    <w:rsid w:val="00915F68"/>
    <w:rsid w:val="00915F86"/>
    <w:rsid w:val="00916BA4"/>
    <w:rsid w:val="00920C18"/>
    <w:rsid w:val="00921184"/>
    <w:rsid w:val="009226E0"/>
    <w:rsid w:val="00926840"/>
    <w:rsid w:val="00931285"/>
    <w:rsid w:val="0093176C"/>
    <w:rsid w:val="009334D6"/>
    <w:rsid w:val="00935902"/>
    <w:rsid w:val="009369BD"/>
    <w:rsid w:val="0093721B"/>
    <w:rsid w:val="00937DD5"/>
    <w:rsid w:val="00940757"/>
    <w:rsid w:val="00940D47"/>
    <w:rsid w:val="00942A70"/>
    <w:rsid w:val="009431B2"/>
    <w:rsid w:val="0094422D"/>
    <w:rsid w:val="0094456E"/>
    <w:rsid w:val="009446AD"/>
    <w:rsid w:val="00946079"/>
    <w:rsid w:val="00946171"/>
    <w:rsid w:val="009469B6"/>
    <w:rsid w:val="00947AAD"/>
    <w:rsid w:val="00947D16"/>
    <w:rsid w:val="009510E6"/>
    <w:rsid w:val="00951175"/>
    <w:rsid w:val="0095153C"/>
    <w:rsid w:val="00951740"/>
    <w:rsid w:val="00951F50"/>
    <w:rsid w:val="00952E30"/>
    <w:rsid w:val="00953A09"/>
    <w:rsid w:val="00953E43"/>
    <w:rsid w:val="00953F10"/>
    <w:rsid w:val="0095439D"/>
    <w:rsid w:val="00963E97"/>
    <w:rsid w:val="009653BE"/>
    <w:rsid w:val="00966F49"/>
    <w:rsid w:val="009708E0"/>
    <w:rsid w:val="00970CA8"/>
    <w:rsid w:val="009718E5"/>
    <w:rsid w:val="00971BB1"/>
    <w:rsid w:val="00973316"/>
    <w:rsid w:val="00974962"/>
    <w:rsid w:val="009765E2"/>
    <w:rsid w:val="00980254"/>
    <w:rsid w:val="00982EC0"/>
    <w:rsid w:val="00983309"/>
    <w:rsid w:val="009840FF"/>
    <w:rsid w:val="009841FF"/>
    <w:rsid w:val="0098528B"/>
    <w:rsid w:val="00985674"/>
    <w:rsid w:val="00985FE6"/>
    <w:rsid w:val="00987550"/>
    <w:rsid w:val="00987FF9"/>
    <w:rsid w:val="0099032D"/>
    <w:rsid w:val="009908AD"/>
    <w:rsid w:val="009912CA"/>
    <w:rsid w:val="009927EE"/>
    <w:rsid w:val="009931FE"/>
    <w:rsid w:val="00994253"/>
    <w:rsid w:val="00995050"/>
    <w:rsid w:val="009950E1"/>
    <w:rsid w:val="009A08EE"/>
    <w:rsid w:val="009A0931"/>
    <w:rsid w:val="009A13F9"/>
    <w:rsid w:val="009A2477"/>
    <w:rsid w:val="009A309F"/>
    <w:rsid w:val="009A3786"/>
    <w:rsid w:val="009A4C2F"/>
    <w:rsid w:val="009A6337"/>
    <w:rsid w:val="009A6C58"/>
    <w:rsid w:val="009B3243"/>
    <w:rsid w:val="009B3FA0"/>
    <w:rsid w:val="009B4540"/>
    <w:rsid w:val="009B7C61"/>
    <w:rsid w:val="009C02B1"/>
    <w:rsid w:val="009C0C73"/>
    <w:rsid w:val="009C3346"/>
    <w:rsid w:val="009C3E95"/>
    <w:rsid w:val="009C4EEF"/>
    <w:rsid w:val="009C521C"/>
    <w:rsid w:val="009D0141"/>
    <w:rsid w:val="009D02CB"/>
    <w:rsid w:val="009D0C9D"/>
    <w:rsid w:val="009D1DBD"/>
    <w:rsid w:val="009D2AE2"/>
    <w:rsid w:val="009D36BB"/>
    <w:rsid w:val="009D3A51"/>
    <w:rsid w:val="009D5E7F"/>
    <w:rsid w:val="009D6C0D"/>
    <w:rsid w:val="009D74AC"/>
    <w:rsid w:val="009D7F37"/>
    <w:rsid w:val="009E0772"/>
    <w:rsid w:val="009E07E9"/>
    <w:rsid w:val="009E09F1"/>
    <w:rsid w:val="009E16FB"/>
    <w:rsid w:val="009E4158"/>
    <w:rsid w:val="009E4469"/>
    <w:rsid w:val="009E4D68"/>
    <w:rsid w:val="009E59C7"/>
    <w:rsid w:val="009E5B29"/>
    <w:rsid w:val="009E6A93"/>
    <w:rsid w:val="009F018C"/>
    <w:rsid w:val="009F0A3E"/>
    <w:rsid w:val="009F0CCA"/>
    <w:rsid w:val="009F1088"/>
    <w:rsid w:val="009F11D3"/>
    <w:rsid w:val="009F2AF0"/>
    <w:rsid w:val="009F2B1D"/>
    <w:rsid w:val="009F397F"/>
    <w:rsid w:val="009F40A6"/>
    <w:rsid w:val="009F4EB8"/>
    <w:rsid w:val="009F5B9C"/>
    <w:rsid w:val="009F76C8"/>
    <w:rsid w:val="009F7976"/>
    <w:rsid w:val="009F7A47"/>
    <w:rsid w:val="00A0051D"/>
    <w:rsid w:val="00A0120C"/>
    <w:rsid w:val="00A01341"/>
    <w:rsid w:val="00A036D5"/>
    <w:rsid w:val="00A03C51"/>
    <w:rsid w:val="00A04090"/>
    <w:rsid w:val="00A0409E"/>
    <w:rsid w:val="00A047F7"/>
    <w:rsid w:val="00A055E6"/>
    <w:rsid w:val="00A06015"/>
    <w:rsid w:val="00A06564"/>
    <w:rsid w:val="00A06A6F"/>
    <w:rsid w:val="00A073E1"/>
    <w:rsid w:val="00A10601"/>
    <w:rsid w:val="00A1082B"/>
    <w:rsid w:val="00A1085C"/>
    <w:rsid w:val="00A10DFE"/>
    <w:rsid w:val="00A11619"/>
    <w:rsid w:val="00A1300B"/>
    <w:rsid w:val="00A15B6E"/>
    <w:rsid w:val="00A16DDE"/>
    <w:rsid w:val="00A175F1"/>
    <w:rsid w:val="00A20EDF"/>
    <w:rsid w:val="00A2156A"/>
    <w:rsid w:val="00A216C4"/>
    <w:rsid w:val="00A22F66"/>
    <w:rsid w:val="00A23608"/>
    <w:rsid w:val="00A23A2C"/>
    <w:rsid w:val="00A24EC6"/>
    <w:rsid w:val="00A254BA"/>
    <w:rsid w:val="00A255E8"/>
    <w:rsid w:val="00A25722"/>
    <w:rsid w:val="00A2668C"/>
    <w:rsid w:val="00A27057"/>
    <w:rsid w:val="00A27DB1"/>
    <w:rsid w:val="00A31473"/>
    <w:rsid w:val="00A32E8F"/>
    <w:rsid w:val="00A33939"/>
    <w:rsid w:val="00A34D58"/>
    <w:rsid w:val="00A34DE7"/>
    <w:rsid w:val="00A3530C"/>
    <w:rsid w:val="00A41CF0"/>
    <w:rsid w:val="00A43D4B"/>
    <w:rsid w:val="00A43ED3"/>
    <w:rsid w:val="00A44443"/>
    <w:rsid w:val="00A44FE8"/>
    <w:rsid w:val="00A45FDF"/>
    <w:rsid w:val="00A462FA"/>
    <w:rsid w:val="00A464B9"/>
    <w:rsid w:val="00A4771C"/>
    <w:rsid w:val="00A50CD5"/>
    <w:rsid w:val="00A5213D"/>
    <w:rsid w:val="00A52784"/>
    <w:rsid w:val="00A52DBB"/>
    <w:rsid w:val="00A52F99"/>
    <w:rsid w:val="00A53D14"/>
    <w:rsid w:val="00A54D97"/>
    <w:rsid w:val="00A56F30"/>
    <w:rsid w:val="00A57237"/>
    <w:rsid w:val="00A57262"/>
    <w:rsid w:val="00A5796F"/>
    <w:rsid w:val="00A57C95"/>
    <w:rsid w:val="00A602AC"/>
    <w:rsid w:val="00A60C66"/>
    <w:rsid w:val="00A61020"/>
    <w:rsid w:val="00A61A10"/>
    <w:rsid w:val="00A6261E"/>
    <w:rsid w:val="00A626C0"/>
    <w:rsid w:val="00A62ACA"/>
    <w:rsid w:val="00A62D9B"/>
    <w:rsid w:val="00A6348E"/>
    <w:rsid w:val="00A6546D"/>
    <w:rsid w:val="00A65AEF"/>
    <w:rsid w:val="00A65BB4"/>
    <w:rsid w:val="00A662F2"/>
    <w:rsid w:val="00A707A0"/>
    <w:rsid w:val="00A7142B"/>
    <w:rsid w:val="00A71D20"/>
    <w:rsid w:val="00A74130"/>
    <w:rsid w:val="00A75EC3"/>
    <w:rsid w:val="00A7622A"/>
    <w:rsid w:val="00A76F2E"/>
    <w:rsid w:val="00A77111"/>
    <w:rsid w:val="00A7794E"/>
    <w:rsid w:val="00A801F9"/>
    <w:rsid w:val="00A815B2"/>
    <w:rsid w:val="00A81A7C"/>
    <w:rsid w:val="00A81C8E"/>
    <w:rsid w:val="00A83D32"/>
    <w:rsid w:val="00A86359"/>
    <w:rsid w:val="00A87789"/>
    <w:rsid w:val="00A87DA8"/>
    <w:rsid w:val="00A909BD"/>
    <w:rsid w:val="00A921BD"/>
    <w:rsid w:val="00A926CC"/>
    <w:rsid w:val="00A92AD1"/>
    <w:rsid w:val="00A92B99"/>
    <w:rsid w:val="00A9390E"/>
    <w:rsid w:val="00A93C6A"/>
    <w:rsid w:val="00A95C7F"/>
    <w:rsid w:val="00AA0FE7"/>
    <w:rsid w:val="00AA149B"/>
    <w:rsid w:val="00AA153E"/>
    <w:rsid w:val="00AA1971"/>
    <w:rsid w:val="00AA2985"/>
    <w:rsid w:val="00AA40D0"/>
    <w:rsid w:val="00AA696F"/>
    <w:rsid w:val="00AA7618"/>
    <w:rsid w:val="00AB0976"/>
    <w:rsid w:val="00AB1339"/>
    <w:rsid w:val="00AB1BD1"/>
    <w:rsid w:val="00AB5936"/>
    <w:rsid w:val="00AB60C7"/>
    <w:rsid w:val="00AB61DE"/>
    <w:rsid w:val="00AB7118"/>
    <w:rsid w:val="00AB76CA"/>
    <w:rsid w:val="00AC01AA"/>
    <w:rsid w:val="00AC0734"/>
    <w:rsid w:val="00AC0843"/>
    <w:rsid w:val="00AC1547"/>
    <w:rsid w:val="00AC2B1A"/>
    <w:rsid w:val="00AC2B5F"/>
    <w:rsid w:val="00AC3C9C"/>
    <w:rsid w:val="00AC433D"/>
    <w:rsid w:val="00AC4465"/>
    <w:rsid w:val="00AC471C"/>
    <w:rsid w:val="00AC5AED"/>
    <w:rsid w:val="00AC76D1"/>
    <w:rsid w:val="00AD0BEB"/>
    <w:rsid w:val="00AD21A6"/>
    <w:rsid w:val="00AD2206"/>
    <w:rsid w:val="00AD39EA"/>
    <w:rsid w:val="00AD4F1F"/>
    <w:rsid w:val="00AD5BF7"/>
    <w:rsid w:val="00AD5D24"/>
    <w:rsid w:val="00AD79AF"/>
    <w:rsid w:val="00AD7C9D"/>
    <w:rsid w:val="00AE0DBD"/>
    <w:rsid w:val="00AE1060"/>
    <w:rsid w:val="00AE1F83"/>
    <w:rsid w:val="00AE342A"/>
    <w:rsid w:val="00AE350F"/>
    <w:rsid w:val="00AE4AF1"/>
    <w:rsid w:val="00AE5C72"/>
    <w:rsid w:val="00AE6C18"/>
    <w:rsid w:val="00AE71B4"/>
    <w:rsid w:val="00AE7811"/>
    <w:rsid w:val="00AE7CF1"/>
    <w:rsid w:val="00AF0B5C"/>
    <w:rsid w:val="00AF1993"/>
    <w:rsid w:val="00AF3C03"/>
    <w:rsid w:val="00AF40E7"/>
    <w:rsid w:val="00AF5CBB"/>
    <w:rsid w:val="00AF5DD3"/>
    <w:rsid w:val="00AF7114"/>
    <w:rsid w:val="00AF7B10"/>
    <w:rsid w:val="00AF7DD0"/>
    <w:rsid w:val="00B00CB8"/>
    <w:rsid w:val="00B02708"/>
    <w:rsid w:val="00B04095"/>
    <w:rsid w:val="00B06A3C"/>
    <w:rsid w:val="00B06C30"/>
    <w:rsid w:val="00B0788D"/>
    <w:rsid w:val="00B10D13"/>
    <w:rsid w:val="00B12261"/>
    <w:rsid w:val="00B138AE"/>
    <w:rsid w:val="00B13AF5"/>
    <w:rsid w:val="00B13F6B"/>
    <w:rsid w:val="00B15115"/>
    <w:rsid w:val="00B156F0"/>
    <w:rsid w:val="00B1646D"/>
    <w:rsid w:val="00B200CB"/>
    <w:rsid w:val="00B202F1"/>
    <w:rsid w:val="00B20A33"/>
    <w:rsid w:val="00B21F08"/>
    <w:rsid w:val="00B22689"/>
    <w:rsid w:val="00B22B9B"/>
    <w:rsid w:val="00B230B9"/>
    <w:rsid w:val="00B23AF0"/>
    <w:rsid w:val="00B2748D"/>
    <w:rsid w:val="00B27653"/>
    <w:rsid w:val="00B27B0B"/>
    <w:rsid w:val="00B30FE4"/>
    <w:rsid w:val="00B3126E"/>
    <w:rsid w:val="00B315EE"/>
    <w:rsid w:val="00B321C6"/>
    <w:rsid w:val="00B326A1"/>
    <w:rsid w:val="00B32966"/>
    <w:rsid w:val="00B32D7F"/>
    <w:rsid w:val="00B337BC"/>
    <w:rsid w:val="00B33DD0"/>
    <w:rsid w:val="00B33E43"/>
    <w:rsid w:val="00B35C22"/>
    <w:rsid w:val="00B41CCC"/>
    <w:rsid w:val="00B43130"/>
    <w:rsid w:val="00B442B2"/>
    <w:rsid w:val="00B46685"/>
    <w:rsid w:val="00B47021"/>
    <w:rsid w:val="00B5084B"/>
    <w:rsid w:val="00B518D8"/>
    <w:rsid w:val="00B52AED"/>
    <w:rsid w:val="00B534E8"/>
    <w:rsid w:val="00B55250"/>
    <w:rsid w:val="00B57D6A"/>
    <w:rsid w:val="00B60E68"/>
    <w:rsid w:val="00B60EC8"/>
    <w:rsid w:val="00B61058"/>
    <w:rsid w:val="00B63A58"/>
    <w:rsid w:val="00B65408"/>
    <w:rsid w:val="00B66ADB"/>
    <w:rsid w:val="00B67364"/>
    <w:rsid w:val="00B673B7"/>
    <w:rsid w:val="00B7033A"/>
    <w:rsid w:val="00B70E39"/>
    <w:rsid w:val="00B716F1"/>
    <w:rsid w:val="00B71707"/>
    <w:rsid w:val="00B7330B"/>
    <w:rsid w:val="00B74572"/>
    <w:rsid w:val="00B75929"/>
    <w:rsid w:val="00B75F40"/>
    <w:rsid w:val="00B75F93"/>
    <w:rsid w:val="00B76724"/>
    <w:rsid w:val="00B7735B"/>
    <w:rsid w:val="00B77665"/>
    <w:rsid w:val="00B8030C"/>
    <w:rsid w:val="00B8058B"/>
    <w:rsid w:val="00B82298"/>
    <w:rsid w:val="00B828ED"/>
    <w:rsid w:val="00B83439"/>
    <w:rsid w:val="00B91D25"/>
    <w:rsid w:val="00B93930"/>
    <w:rsid w:val="00B93965"/>
    <w:rsid w:val="00B93F2D"/>
    <w:rsid w:val="00B94FA9"/>
    <w:rsid w:val="00B954D4"/>
    <w:rsid w:val="00B962F9"/>
    <w:rsid w:val="00BA0316"/>
    <w:rsid w:val="00BA12B1"/>
    <w:rsid w:val="00BA14A9"/>
    <w:rsid w:val="00BA2024"/>
    <w:rsid w:val="00BA5CA6"/>
    <w:rsid w:val="00BA6116"/>
    <w:rsid w:val="00BA6298"/>
    <w:rsid w:val="00BA65B1"/>
    <w:rsid w:val="00BA76A9"/>
    <w:rsid w:val="00BB0D6E"/>
    <w:rsid w:val="00BB1F2C"/>
    <w:rsid w:val="00BB2012"/>
    <w:rsid w:val="00BB25C8"/>
    <w:rsid w:val="00BB2AF2"/>
    <w:rsid w:val="00BB533C"/>
    <w:rsid w:val="00BB7213"/>
    <w:rsid w:val="00BB7B36"/>
    <w:rsid w:val="00BC1CA5"/>
    <w:rsid w:val="00BC1E61"/>
    <w:rsid w:val="00BC2FA0"/>
    <w:rsid w:val="00BC4F80"/>
    <w:rsid w:val="00BC5E25"/>
    <w:rsid w:val="00BC7631"/>
    <w:rsid w:val="00BC7E4D"/>
    <w:rsid w:val="00BD0CB7"/>
    <w:rsid w:val="00BD19CF"/>
    <w:rsid w:val="00BD252A"/>
    <w:rsid w:val="00BD43E5"/>
    <w:rsid w:val="00BD46E7"/>
    <w:rsid w:val="00BD4909"/>
    <w:rsid w:val="00BD6C20"/>
    <w:rsid w:val="00BD70F9"/>
    <w:rsid w:val="00BD72A6"/>
    <w:rsid w:val="00BD777C"/>
    <w:rsid w:val="00BE0BDA"/>
    <w:rsid w:val="00BE2DCA"/>
    <w:rsid w:val="00BE41E2"/>
    <w:rsid w:val="00BE4C2A"/>
    <w:rsid w:val="00BE6685"/>
    <w:rsid w:val="00BE7CE8"/>
    <w:rsid w:val="00BF00F9"/>
    <w:rsid w:val="00BF04EF"/>
    <w:rsid w:val="00BF08EB"/>
    <w:rsid w:val="00BF0C96"/>
    <w:rsid w:val="00BF1B6B"/>
    <w:rsid w:val="00BF23AB"/>
    <w:rsid w:val="00BF350F"/>
    <w:rsid w:val="00BF4D6D"/>
    <w:rsid w:val="00BF5327"/>
    <w:rsid w:val="00BF53FE"/>
    <w:rsid w:val="00BF5CDF"/>
    <w:rsid w:val="00BF651F"/>
    <w:rsid w:val="00C012D5"/>
    <w:rsid w:val="00C017E0"/>
    <w:rsid w:val="00C02974"/>
    <w:rsid w:val="00C02D9D"/>
    <w:rsid w:val="00C0344E"/>
    <w:rsid w:val="00C03AC1"/>
    <w:rsid w:val="00C04A93"/>
    <w:rsid w:val="00C05222"/>
    <w:rsid w:val="00C05268"/>
    <w:rsid w:val="00C068CC"/>
    <w:rsid w:val="00C07B9C"/>
    <w:rsid w:val="00C07DB2"/>
    <w:rsid w:val="00C10082"/>
    <w:rsid w:val="00C109D8"/>
    <w:rsid w:val="00C11939"/>
    <w:rsid w:val="00C13FD6"/>
    <w:rsid w:val="00C144E9"/>
    <w:rsid w:val="00C16085"/>
    <w:rsid w:val="00C21CBF"/>
    <w:rsid w:val="00C21D44"/>
    <w:rsid w:val="00C22DDF"/>
    <w:rsid w:val="00C22E6B"/>
    <w:rsid w:val="00C2303F"/>
    <w:rsid w:val="00C23263"/>
    <w:rsid w:val="00C233CA"/>
    <w:rsid w:val="00C24181"/>
    <w:rsid w:val="00C24F1D"/>
    <w:rsid w:val="00C2520A"/>
    <w:rsid w:val="00C32072"/>
    <w:rsid w:val="00C32AC2"/>
    <w:rsid w:val="00C32FEB"/>
    <w:rsid w:val="00C34A08"/>
    <w:rsid w:val="00C35237"/>
    <w:rsid w:val="00C3545C"/>
    <w:rsid w:val="00C35665"/>
    <w:rsid w:val="00C36D49"/>
    <w:rsid w:val="00C37A2F"/>
    <w:rsid w:val="00C4018E"/>
    <w:rsid w:val="00C4022A"/>
    <w:rsid w:val="00C40FDA"/>
    <w:rsid w:val="00C41E12"/>
    <w:rsid w:val="00C42D22"/>
    <w:rsid w:val="00C431BC"/>
    <w:rsid w:val="00C4424F"/>
    <w:rsid w:val="00C45485"/>
    <w:rsid w:val="00C455C4"/>
    <w:rsid w:val="00C45B31"/>
    <w:rsid w:val="00C45D0F"/>
    <w:rsid w:val="00C46596"/>
    <w:rsid w:val="00C476B1"/>
    <w:rsid w:val="00C50982"/>
    <w:rsid w:val="00C53204"/>
    <w:rsid w:val="00C539F6"/>
    <w:rsid w:val="00C55199"/>
    <w:rsid w:val="00C61E1B"/>
    <w:rsid w:val="00C64C7E"/>
    <w:rsid w:val="00C65339"/>
    <w:rsid w:val="00C657F1"/>
    <w:rsid w:val="00C65D4D"/>
    <w:rsid w:val="00C66F00"/>
    <w:rsid w:val="00C7079E"/>
    <w:rsid w:val="00C7088F"/>
    <w:rsid w:val="00C759BF"/>
    <w:rsid w:val="00C76614"/>
    <w:rsid w:val="00C76934"/>
    <w:rsid w:val="00C76C66"/>
    <w:rsid w:val="00C77ECA"/>
    <w:rsid w:val="00C80932"/>
    <w:rsid w:val="00C814FF"/>
    <w:rsid w:val="00C81584"/>
    <w:rsid w:val="00C81630"/>
    <w:rsid w:val="00C822D8"/>
    <w:rsid w:val="00C82769"/>
    <w:rsid w:val="00C84027"/>
    <w:rsid w:val="00C84461"/>
    <w:rsid w:val="00C849D2"/>
    <w:rsid w:val="00C84FE1"/>
    <w:rsid w:val="00C8787B"/>
    <w:rsid w:val="00C90E47"/>
    <w:rsid w:val="00C94253"/>
    <w:rsid w:val="00C94610"/>
    <w:rsid w:val="00C94D6B"/>
    <w:rsid w:val="00C96BF4"/>
    <w:rsid w:val="00C97082"/>
    <w:rsid w:val="00C97D48"/>
    <w:rsid w:val="00CA0D3C"/>
    <w:rsid w:val="00CA12B3"/>
    <w:rsid w:val="00CA1584"/>
    <w:rsid w:val="00CA23FC"/>
    <w:rsid w:val="00CA2E56"/>
    <w:rsid w:val="00CA3F0C"/>
    <w:rsid w:val="00CA455C"/>
    <w:rsid w:val="00CA46EB"/>
    <w:rsid w:val="00CA4DD2"/>
    <w:rsid w:val="00CA5B23"/>
    <w:rsid w:val="00CA5B3B"/>
    <w:rsid w:val="00CA631C"/>
    <w:rsid w:val="00CA6815"/>
    <w:rsid w:val="00CA6AA8"/>
    <w:rsid w:val="00CA6E29"/>
    <w:rsid w:val="00CB172C"/>
    <w:rsid w:val="00CB1E64"/>
    <w:rsid w:val="00CB2270"/>
    <w:rsid w:val="00CB3580"/>
    <w:rsid w:val="00CB380D"/>
    <w:rsid w:val="00CB40BF"/>
    <w:rsid w:val="00CB4C57"/>
    <w:rsid w:val="00CC056F"/>
    <w:rsid w:val="00CC0F1A"/>
    <w:rsid w:val="00CC220D"/>
    <w:rsid w:val="00CC2CAE"/>
    <w:rsid w:val="00CC2CC3"/>
    <w:rsid w:val="00CC2F77"/>
    <w:rsid w:val="00CC69EF"/>
    <w:rsid w:val="00CC6B51"/>
    <w:rsid w:val="00CC7AE1"/>
    <w:rsid w:val="00CC7F6D"/>
    <w:rsid w:val="00CD0BFA"/>
    <w:rsid w:val="00CD1B55"/>
    <w:rsid w:val="00CD2140"/>
    <w:rsid w:val="00CD2D5B"/>
    <w:rsid w:val="00CD420D"/>
    <w:rsid w:val="00CD53DE"/>
    <w:rsid w:val="00CD6480"/>
    <w:rsid w:val="00CD7093"/>
    <w:rsid w:val="00CD73B6"/>
    <w:rsid w:val="00CD74EF"/>
    <w:rsid w:val="00CE1644"/>
    <w:rsid w:val="00CE2F02"/>
    <w:rsid w:val="00CE3A59"/>
    <w:rsid w:val="00CE5179"/>
    <w:rsid w:val="00CE6506"/>
    <w:rsid w:val="00CE73EC"/>
    <w:rsid w:val="00CF0CD9"/>
    <w:rsid w:val="00CF1213"/>
    <w:rsid w:val="00CF2861"/>
    <w:rsid w:val="00CF324C"/>
    <w:rsid w:val="00CF5B5C"/>
    <w:rsid w:val="00CF5D33"/>
    <w:rsid w:val="00CF605C"/>
    <w:rsid w:val="00CF7A3A"/>
    <w:rsid w:val="00D0006B"/>
    <w:rsid w:val="00D00972"/>
    <w:rsid w:val="00D0171E"/>
    <w:rsid w:val="00D02753"/>
    <w:rsid w:val="00D02F9B"/>
    <w:rsid w:val="00D0322F"/>
    <w:rsid w:val="00D042DC"/>
    <w:rsid w:val="00D04E9D"/>
    <w:rsid w:val="00D061C1"/>
    <w:rsid w:val="00D06B1A"/>
    <w:rsid w:val="00D0741E"/>
    <w:rsid w:val="00D07D2C"/>
    <w:rsid w:val="00D1005F"/>
    <w:rsid w:val="00D1087E"/>
    <w:rsid w:val="00D11709"/>
    <w:rsid w:val="00D12465"/>
    <w:rsid w:val="00D1247F"/>
    <w:rsid w:val="00D1389F"/>
    <w:rsid w:val="00D14151"/>
    <w:rsid w:val="00D15448"/>
    <w:rsid w:val="00D16921"/>
    <w:rsid w:val="00D178CA"/>
    <w:rsid w:val="00D179A7"/>
    <w:rsid w:val="00D20DC2"/>
    <w:rsid w:val="00D2104B"/>
    <w:rsid w:val="00D22558"/>
    <w:rsid w:val="00D22CD9"/>
    <w:rsid w:val="00D23C56"/>
    <w:rsid w:val="00D24309"/>
    <w:rsid w:val="00D24B18"/>
    <w:rsid w:val="00D25045"/>
    <w:rsid w:val="00D25B9A"/>
    <w:rsid w:val="00D27041"/>
    <w:rsid w:val="00D311D4"/>
    <w:rsid w:val="00D31B09"/>
    <w:rsid w:val="00D31DA0"/>
    <w:rsid w:val="00D32378"/>
    <w:rsid w:val="00D349D5"/>
    <w:rsid w:val="00D364D4"/>
    <w:rsid w:val="00D36CE0"/>
    <w:rsid w:val="00D373EA"/>
    <w:rsid w:val="00D40DA0"/>
    <w:rsid w:val="00D424D7"/>
    <w:rsid w:val="00D430A1"/>
    <w:rsid w:val="00D430E7"/>
    <w:rsid w:val="00D44454"/>
    <w:rsid w:val="00D4535E"/>
    <w:rsid w:val="00D45E30"/>
    <w:rsid w:val="00D47847"/>
    <w:rsid w:val="00D509BC"/>
    <w:rsid w:val="00D50B76"/>
    <w:rsid w:val="00D50ECD"/>
    <w:rsid w:val="00D54B41"/>
    <w:rsid w:val="00D54ED4"/>
    <w:rsid w:val="00D5589A"/>
    <w:rsid w:val="00D569A6"/>
    <w:rsid w:val="00D56C37"/>
    <w:rsid w:val="00D61105"/>
    <w:rsid w:val="00D61555"/>
    <w:rsid w:val="00D635D9"/>
    <w:rsid w:val="00D6381F"/>
    <w:rsid w:val="00D63BF0"/>
    <w:rsid w:val="00D645BA"/>
    <w:rsid w:val="00D70743"/>
    <w:rsid w:val="00D708CA"/>
    <w:rsid w:val="00D70EFB"/>
    <w:rsid w:val="00D72980"/>
    <w:rsid w:val="00D72D4B"/>
    <w:rsid w:val="00D72D9B"/>
    <w:rsid w:val="00D741BF"/>
    <w:rsid w:val="00D7446C"/>
    <w:rsid w:val="00D7487C"/>
    <w:rsid w:val="00D74BC8"/>
    <w:rsid w:val="00D808EC"/>
    <w:rsid w:val="00D81454"/>
    <w:rsid w:val="00D81A90"/>
    <w:rsid w:val="00D81BFA"/>
    <w:rsid w:val="00D820B8"/>
    <w:rsid w:val="00D836B5"/>
    <w:rsid w:val="00D858D1"/>
    <w:rsid w:val="00D859B5"/>
    <w:rsid w:val="00D871C2"/>
    <w:rsid w:val="00D912FD"/>
    <w:rsid w:val="00D9243E"/>
    <w:rsid w:val="00D92672"/>
    <w:rsid w:val="00D944D9"/>
    <w:rsid w:val="00D94CAE"/>
    <w:rsid w:val="00D94D79"/>
    <w:rsid w:val="00D94F40"/>
    <w:rsid w:val="00D95FCE"/>
    <w:rsid w:val="00D96219"/>
    <w:rsid w:val="00D96A54"/>
    <w:rsid w:val="00D9775D"/>
    <w:rsid w:val="00DA00B0"/>
    <w:rsid w:val="00DA0C2F"/>
    <w:rsid w:val="00DA0F56"/>
    <w:rsid w:val="00DA1C6E"/>
    <w:rsid w:val="00DA333A"/>
    <w:rsid w:val="00DA3C2A"/>
    <w:rsid w:val="00DA63BB"/>
    <w:rsid w:val="00DA659C"/>
    <w:rsid w:val="00DA683C"/>
    <w:rsid w:val="00DA6A1F"/>
    <w:rsid w:val="00DB04E8"/>
    <w:rsid w:val="00DB0E14"/>
    <w:rsid w:val="00DB1189"/>
    <w:rsid w:val="00DB126B"/>
    <w:rsid w:val="00DB1D32"/>
    <w:rsid w:val="00DB271C"/>
    <w:rsid w:val="00DB2EB2"/>
    <w:rsid w:val="00DB3583"/>
    <w:rsid w:val="00DB5FB9"/>
    <w:rsid w:val="00DB64A9"/>
    <w:rsid w:val="00DB6A23"/>
    <w:rsid w:val="00DC1747"/>
    <w:rsid w:val="00DC194E"/>
    <w:rsid w:val="00DC204E"/>
    <w:rsid w:val="00DC4548"/>
    <w:rsid w:val="00DC7687"/>
    <w:rsid w:val="00DC7D69"/>
    <w:rsid w:val="00DC7DA2"/>
    <w:rsid w:val="00DD14B5"/>
    <w:rsid w:val="00DD2BBA"/>
    <w:rsid w:val="00DD3557"/>
    <w:rsid w:val="00DD3B20"/>
    <w:rsid w:val="00DD4573"/>
    <w:rsid w:val="00DD597E"/>
    <w:rsid w:val="00DD5D11"/>
    <w:rsid w:val="00DD60D0"/>
    <w:rsid w:val="00DD6A57"/>
    <w:rsid w:val="00DD720C"/>
    <w:rsid w:val="00DD78B2"/>
    <w:rsid w:val="00DE1F6C"/>
    <w:rsid w:val="00DE2859"/>
    <w:rsid w:val="00DE2FA6"/>
    <w:rsid w:val="00DE3ACC"/>
    <w:rsid w:val="00DE42E3"/>
    <w:rsid w:val="00DE53D6"/>
    <w:rsid w:val="00DE6EC4"/>
    <w:rsid w:val="00DE6F47"/>
    <w:rsid w:val="00DE7333"/>
    <w:rsid w:val="00DE75BA"/>
    <w:rsid w:val="00DE782D"/>
    <w:rsid w:val="00DF148D"/>
    <w:rsid w:val="00DF158D"/>
    <w:rsid w:val="00DF15B3"/>
    <w:rsid w:val="00DF2B3E"/>
    <w:rsid w:val="00DF34B8"/>
    <w:rsid w:val="00DF459B"/>
    <w:rsid w:val="00DF5430"/>
    <w:rsid w:val="00DF5868"/>
    <w:rsid w:val="00DF5F3C"/>
    <w:rsid w:val="00DF670F"/>
    <w:rsid w:val="00DF6E74"/>
    <w:rsid w:val="00DF6E9D"/>
    <w:rsid w:val="00E00073"/>
    <w:rsid w:val="00E00F81"/>
    <w:rsid w:val="00E01268"/>
    <w:rsid w:val="00E0171D"/>
    <w:rsid w:val="00E01F1E"/>
    <w:rsid w:val="00E02A5D"/>
    <w:rsid w:val="00E031BE"/>
    <w:rsid w:val="00E0374E"/>
    <w:rsid w:val="00E0375B"/>
    <w:rsid w:val="00E03F4C"/>
    <w:rsid w:val="00E050BD"/>
    <w:rsid w:val="00E06194"/>
    <w:rsid w:val="00E06F76"/>
    <w:rsid w:val="00E10200"/>
    <w:rsid w:val="00E12A8E"/>
    <w:rsid w:val="00E12F0C"/>
    <w:rsid w:val="00E12F57"/>
    <w:rsid w:val="00E1324E"/>
    <w:rsid w:val="00E13C30"/>
    <w:rsid w:val="00E14052"/>
    <w:rsid w:val="00E15765"/>
    <w:rsid w:val="00E16112"/>
    <w:rsid w:val="00E1760B"/>
    <w:rsid w:val="00E2200B"/>
    <w:rsid w:val="00E22C36"/>
    <w:rsid w:val="00E263E9"/>
    <w:rsid w:val="00E27917"/>
    <w:rsid w:val="00E313DD"/>
    <w:rsid w:val="00E319BA"/>
    <w:rsid w:val="00E31D33"/>
    <w:rsid w:val="00E320B6"/>
    <w:rsid w:val="00E3296A"/>
    <w:rsid w:val="00E3427E"/>
    <w:rsid w:val="00E3436B"/>
    <w:rsid w:val="00E35AFF"/>
    <w:rsid w:val="00E3648B"/>
    <w:rsid w:val="00E366A0"/>
    <w:rsid w:val="00E366BF"/>
    <w:rsid w:val="00E379B1"/>
    <w:rsid w:val="00E37EEE"/>
    <w:rsid w:val="00E37FFC"/>
    <w:rsid w:val="00E4018E"/>
    <w:rsid w:val="00E41A32"/>
    <w:rsid w:val="00E41C77"/>
    <w:rsid w:val="00E437F9"/>
    <w:rsid w:val="00E4390D"/>
    <w:rsid w:val="00E44C21"/>
    <w:rsid w:val="00E46A93"/>
    <w:rsid w:val="00E4723E"/>
    <w:rsid w:val="00E479F7"/>
    <w:rsid w:val="00E5038A"/>
    <w:rsid w:val="00E503EF"/>
    <w:rsid w:val="00E507F4"/>
    <w:rsid w:val="00E50B58"/>
    <w:rsid w:val="00E51AC1"/>
    <w:rsid w:val="00E52DAD"/>
    <w:rsid w:val="00E5429D"/>
    <w:rsid w:val="00E626C1"/>
    <w:rsid w:val="00E62C57"/>
    <w:rsid w:val="00E63932"/>
    <w:rsid w:val="00E646DA"/>
    <w:rsid w:val="00E65C0B"/>
    <w:rsid w:val="00E66820"/>
    <w:rsid w:val="00E70166"/>
    <w:rsid w:val="00E706A4"/>
    <w:rsid w:val="00E70F62"/>
    <w:rsid w:val="00E74D5C"/>
    <w:rsid w:val="00E75C79"/>
    <w:rsid w:val="00E76C2C"/>
    <w:rsid w:val="00E77591"/>
    <w:rsid w:val="00E805F4"/>
    <w:rsid w:val="00E80E95"/>
    <w:rsid w:val="00E81117"/>
    <w:rsid w:val="00E81E1A"/>
    <w:rsid w:val="00E849A2"/>
    <w:rsid w:val="00E86E88"/>
    <w:rsid w:val="00E87127"/>
    <w:rsid w:val="00E87462"/>
    <w:rsid w:val="00E90774"/>
    <w:rsid w:val="00E916CB"/>
    <w:rsid w:val="00E91A46"/>
    <w:rsid w:val="00E92998"/>
    <w:rsid w:val="00E93F21"/>
    <w:rsid w:val="00E956B8"/>
    <w:rsid w:val="00E9721D"/>
    <w:rsid w:val="00E97DB6"/>
    <w:rsid w:val="00E97DD3"/>
    <w:rsid w:val="00EA0166"/>
    <w:rsid w:val="00EA0AFC"/>
    <w:rsid w:val="00EA155C"/>
    <w:rsid w:val="00EA2D3A"/>
    <w:rsid w:val="00EA3287"/>
    <w:rsid w:val="00EA5C71"/>
    <w:rsid w:val="00EA74D6"/>
    <w:rsid w:val="00EA7574"/>
    <w:rsid w:val="00EA7E6F"/>
    <w:rsid w:val="00EB0E1E"/>
    <w:rsid w:val="00EB4942"/>
    <w:rsid w:val="00EB6440"/>
    <w:rsid w:val="00EB790B"/>
    <w:rsid w:val="00EB7DB3"/>
    <w:rsid w:val="00EC0212"/>
    <w:rsid w:val="00EC0872"/>
    <w:rsid w:val="00EC1573"/>
    <w:rsid w:val="00EC167F"/>
    <w:rsid w:val="00EC1B8B"/>
    <w:rsid w:val="00EC1BF6"/>
    <w:rsid w:val="00EC245B"/>
    <w:rsid w:val="00EC27F2"/>
    <w:rsid w:val="00EC403D"/>
    <w:rsid w:val="00EC61E1"/>
    <w:rsid w:val="00EC646C"/>
    <w:rsid w:val="00EC7ACB"/>
    <w:rsid w:val="00EC7B0D"/>
    <w:rsid w:val="00ED0153"/>
    <w:rsid w:val="00ED064E"/>
    <w:rsid w:val="00ED1753"/>
    <w:rsid w:val="00ED191F"/>
    <w:rsid w:val="00ED2B9A"/>
    <w:rsid w:val="00ED375E"/>
    <w:rsid w:val="00ED38D7"/>
    <w:rsid w:val="00ED3D10"/>
    <w:rsid w:val="00ED4893"/>
    <w:rsid w:val="00ED4A83"/>
    <w:rsid w:val="00ED4B5E"/>
    <w:rsid w:val="00ED5198"/>
    <w:rsid w:val="00ED6649"/>
    <w:rsid w:val="00ED67B6"/>
    <w:rsid w:val="00ED7E87"/>
    <w:rsid w:val="00EE1D1F"/>
    <w:rsid w:val="00EE2616"/>
    <w:rsid w:val="00EE3CC9"/>
    <w:rsid w:val="00EE4986"/>
    <w:rsid w:val="00EE563F"/>
    <w:rsid w:val="00EE59C6"/>
    <w:rsid w:val="00EE7580"/>
    <w:rsid w:val="00EE7CBD"/>
    <w:rsid w:val="00EF060C"/>
    <w:rsid w:val="00EF07C7"/>
    <w:rsid w:val="00EF1209"/>
    <w:rsid w:val="00EF2187"/>
    <w:rsid w:val="00EF31E6"/>
    <w:rsid w:val="00EF579D"/>
    <w:rsid w:val="00EF6D9E"/>
    <w:rsid w:val="00EF758F"/>
    <w:rsid w:val="00EF7758"/>
    <w:rsid w:val="00EF78C6"/>
    <w:rsid w:val="00EF7DE4"/>
    <w:rsid w:val="00F023C2"/>
    <w:rsid w:val="00F0247B"/>
    <w:rsid w:val="00F0294D"/>
    <w:rsid w:val="00F02D2F"/>
    <w:rsid w:val="00F03DC2"/>
    <w:rsid w:val="00F03E3C"/>
    <w:rsid w:val="00F052E7"/>
    <w:rsid w:val="00F07E09"/>
    <w:rsid w:val="00F10653"/>
    <w:rsid w:val="00F11CD1"/>
    <w:rsid w:val="00F1546F"/>
    <w:rsid w:val="00F16692"/>
    <w:rsid w:val="00F203CB"/>
    <w:rsid w:val="00F206BA"/>
    <w:rsid w:val="00F222E4"/>
    <w:rsid w:val="00F22FC2"/>
    <w:rsid w:val="00F2337B"/>
    <w:rsid w:val="00F24A9A"/>
    <w:rsid w:val="00F25878"/>
    <w:rsid w:val="00F26A18"/>
    <w:rsid w:val="00F30511"/>
    <w:rsid w:val="00F30D02"/>
    <w:rsid w:val="00F31473"/>
    <w:rsid w:val="00F318AE"/>
    <w:rsid w:val="00F31CE6"/>
    <w:rsid w:val="00F31FF2"/>
    <w:rsid w:val="00F326D4"/>
    <w:rsid w:val="00F3506C"/>
    <w:rsid w:val="00F407A1"/>
    <w:rsid w:val="00F411BD"/>
    <w:rsid w:val="00F42E4A"/>
    <w:rsid w:val="00F43E85"/>
    <w:rsid w:val="00F4741C"/>
    <w:rsid w:val="00F50390"/>
    <w:rsid w:val="00F5242C"/>
    <w:rsid w:val="00F52AC2"/>
    <w:rsid w:val="00F56C66"/>
    <w:rsid w:val="00F57392"/>
    <w:rsid w:val="00F60BCB"/>
    <w:rsid w:val="00F6274A"/>
    <w:rsid w:val="00F62FBB"/>
    <w:rsid w:val="00F644F1"/>
    <w:rsid w:val="00F65E74"/>
    <w:rsid w:val="00F65F88"/>
    <w:rsid w:val="00F66097"/>
    <w:rsid w:val="00F661C8"/>
    <w:rsid w:val="00F6799D"/>
    <w:rsid w:val="00F70CE4"/>
    <w:rsid w:val="00F74685"/>
    <w:rsid w:val="00F747C6"/>
    <w:rsid w:val="00F7535D"/>
    <w:rsid w:val="00F76943"/>
    <w:rsid w:val="00F77189"/>
    <w:rsid w:val="00F7740B"/>
    <w:rsid w:val="00F80333"/>
    <w:rsid w:val="00F80F10"/>
    <w:rsid w:val="00F82CF0"/>
    <w:rsid w:val="00F82E1E"/>
    <w:rsid w:val="00F82E34"/>
    <w:rsid w:val="00F83976"/>
    <w:rsid w:val="00F83B62"/>
    <w:rsid w:val="00F83EC2"/>
    <w:rsid w:val="00F84C54"/>
    <w:rsid w:val="00F869A5"/>
    <w:rsid w:val="00F918D3"/>
    <w:rsid w:val="00F91B78"/>
    <w:rsid w:val="00F9536C"/>
    <w:rsid w:val="00F95D01"/>
    <w:rsid w:val="00F9629F"/>
    <w:rsid w:val="00F96827"/>
    <w:rsid w:val="00F96941"/>
    <w:rsid w:val="00F9702A"/>
    <w:rsid w:val="00F97B5F"/>
    <w:rsid w:val="00F97B75"/>
    <w:rsid w:val="00FA0CBC"/>
    <w:rsid w:val="00FA0F65"/>
    <w:rsid w:val="00FA1E13"/>
    <w:rsid w:val="00FA220C"/>
    <w:rsid w:val="00FA25AC"/>
    <w:rsid w:val="00FA6009"/>
    <w:rsid w:val="00FA6A1A"/>
    <w:rsid w:val="00FB0BB5"/>
    <w:rsid w:val="00FB0DDC"/>
    <w:rsid w:val="00FB1D53"/>
    <w:rsid w:val="00FB1F42"/>
    <w:rsid w:val="00FB30CE"/>
    <w:rsid w:val="00FB384D"/>
    <w:rsid w:val="00FB449C"/>
    <w:rsid w:val="00FB476C"/>
    <w:rsid w:val="00FB6A32"/>
    <w:rsid w:val="00FB7C2F"/>
    <w:rsid w:val="00FC0FEA"/>
    <w:rsid w:val="00FC151F"/>
    <w:rsid w:val="00FC3CBE"/>
    <w:rsid w:val="00FC67EE"/>
    <w:rsid w:val="00FC6BA7"/>
    <w:rsid w:val="00FC7127"/>
    <w:rsid w:val="00FD17CF"/>
    <w:rsid w:val="00FD27EA"/>
    <w:rsid w:val="00FD3299"/>
    <w:rsid w:val="00FD3426"/>
    <w:rsid w:val="00FD3CAA"/>
    <w:rsid w:val="00FD405E"/>
    <w:rsid w:val="00FD431B"/>
    <w:rsid w:val="00FD5579"/>
    <w:rsid w:val="00FD566E"/>
    <w:rsid w:val="00FE182B"/>
    <w:rsid w:val="00FE232C"/>
    <w:rsid w:val="00FE27BE"/>
    <w:rsid w:val="00FE3F5B"/>
    <w:rsid w:val="00FE55E2"/>
    <w:rsid w:val="00FE5A8F"/>
    <w:rsid w:val="00FE63FB"/>
    <w:rsid w:val="00FE6EFC"/>
    <w:rsid w:val="00FE70B5"/>
    <w:rsid w:val="00FE7D98"/>
    <w:rsid w:val="00FF0158"/>
    <w:rsid w:val="00FF1309"/>
    <w:rsid w:val="00FF14A8"/>
    <w:rsid w:val="00FF658C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7F488AE-C222-4B78-BE8B-E9B9ED29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247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27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419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2419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419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41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419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4199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4199E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419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19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4199E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24199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4199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2419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4199E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4199E"/>
    <w:rPr>
      <w:sz w:val="24"/>
      <w:szCs w:val="24"/>
    </w:rPr>
  </w:style>
  <w:style w:type="character" w:customStyle="1" w:styleId="80">
    <w:name w:val="Заголовок 8 Знак"/>
    <w:link w:val="8"/>
    <w:rsid w:val="0024199E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4199E"/>
    <w:rPr>
      <w:rFonts w:ascii="Arial" w:hAnsi="Arial" w:cs="Arial"/>
      <w:sz w:val="22"/>
      <w:szCs w:val="22"/>
    </w:rPr>
  </w:style>
  <w:style w:type="table" w:styleId="a4">
    <w:name w:val="Table Grid"/>
    <w:basedOn w:val="a2"/>
    <w:uiPriority w:val="39"/>
    <w:rsid w:val="004A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rsid w:val="00721A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6348E"/>
    <w:rPr>
      <w:sz w:val="24"/>
      <w:szCs w:val="24"/>
    </w:rPr>
  </w:style>
  <w:style w:type="character" w:styleId="a7">
    <w:name w:val="page number"/>
    <w:basedOn w:val="a1"/>
    <w:rsid w:val="00721AAB"/>
  </w:style>
  <w:style w:type="paragraph" w:styleId="a8">
    <w:name w:val="Balloon Text"/>
    <w:basedOn w:val="a0"/>
    <w:link w:val="a9"/>
    <w:semiHidden/>
    <w:rsid w:val="000101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24199E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rsid w:val="006364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4199E"/>
    <w:rPr>
      <w:sz w:val="24"/>
      <w:szCs w:val="24"/>
    </w:rPr>
  </w:style>
  <w:style w:type="paragraph" w:styleId="ac">
    <w:name w:val="footnote text"/>
    <w:basedOn w:val="a0"/>
    <w:link w:val="ad"/>
    <w:uiPriority w:val="99"/>
    <w:rsid w:val="005575C9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5575C9"/>
    <w:rPr>
      <w:lang w:val="ru-RU" w:eastAsia="ru-RU" w:bidi="ar-SA"/>
    </w:rPr>
  </w:style>
  <w:style w:type="character" w:styleId="ae">
    <w:name w:val="footnote reference"/>
    <w:uiPriority w:val="99"/>
    <w:rsid w:val="005575C9"/>
    <w:rPr>
      <w:vertAlign w:val="superscript"/>
    </w:rPr>
  </w:style>
  <w:style w:type="character" w:styleId="af">
    <w:name w:val="annotation reference"/>
    <w:semiHidden/>
    <w:rsid w:val="007D7372"/>
    <w:rPr>
      <w:sz w:val="16"/>
      <w:szCs w:val="16"/>
    </w:rPr>
  </w:style>
  <w:style w:type="paragraph" w:styleId="af0">
    <w:name w:val="annotation text"/>
    <w:basedOn w:val="a0"/>
    <w:link w:val="af1"/>
    <w:semiHidden/>
    <w:rsid w:val="007D7372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24199E"/>
  </w:style>
  <w:style w:type="paragraph" w:styleId="af2">
    <w:name w:val="annotation subject"/>
    <w:basedOn w:val="af0"/>
    <w:next w:val="af0"/>
    <w:link w:val="af3"/>
    <w:semiHidden/>
    <w:rsid w:val="007D7372"/>
    <w:rPr>
      <w:b/>
      <w:bCs/>
    </w:rPr>
  </w:style>
  <w:style w:type="character" w:customStyle="1" w:styleId="af3">
    <w:name w:val="Тема примечания Знак"/>
    <w:link w:val="af2"/>
    <w:semiHidden/>
    <w:rsid w:val="0068031F"/>
    <w:rPr>
      <w:b/>
      <w:bCs/>
    </w:rPr>
  </w:style>
  <w:style w:type="character" w:styleId="af4">
    <w:name w:val="Emphasis"/>
    <w:qFormat/>
    <w:rsid w:val="00DB3583"/>
    <w:rPr>
      <w:i/>
      <w:iCs/>
    </w:rPr>
  </w:style>
  <w:style w:type="paragraph" w:customStyle="1" w:styleId="af5">
    <w:name w:val="т&amp;рмины"/>
    <w:basedOn w:val="a0"/>
    <w:link w:val="af6"/>
    <w:rsid w:val="00DF158D"/>
    <w:pPr>
      <w:widowControl w:val="0"/>
      <w:tabs>
        <w:tab w:val="left" w:pos="567"/>
      </w:tabs>
      <w:spacing w:before="120"/>
      <w:ind w:firstLine="720"/>
      <w:jc w:val="both"/>
      <w:outlineLvl w:val="1"/>
    </w:pPr>
  </w:style>
  <w:style w:type="character" w:customStyle="1" w:styleId="af6">
    <w:name w:val="т&amp;рмины Знак"/>
    <w:link w:val="af5"/>
    <w:rsid w:val="00DF158D"/>
    <w:rPr>
      <w:sz w:val="24"/>
      <w:szCs w:val="24"/>
    </w:rPr>
  </w:style>
  <w:style w:type="paragraph" w:customStyle="1" w:styleId="31-">
    <w:name w:val="т31-вит"/>
    <w:basedOn w:val="a0"/>
    <w:rsid w:val="00437615"/>
    <w:pPr>
      <w:widowControl w:val="0"/>
      <w:ind w:left="907" w:hanging="170"/>
      <w:jc w:val="both"/>
    </w:pPr>
  </w:style>
  <w:style w:type="paragraph" w:customStyle="1" w:styleId="2--1">
    <w:name w:val="т2-вит-прил.1"/>
    <w:basedOn w:val="a0"/>
    <w:rsid w:val="00437615"/>
    <w:pPr>
      <w:widowControl w:val="0"/>
      <w:numPr>
        <w:ilvl w:val="1"/>
        <w:numId w:val="1"/>
      </w:numPr>
      <w:tabs>
        <w:tab w:val="left" w:pos="720"/>
      </w:tabs>
      <w:spacing w:before="120"/>
      <w:jc w:val="both"/>
      <w:outlineLvl w:val="1"/>
    </w:pPr>
  </w:style>
  <w:style w:type="paragraph" w:customStyle="1" w:styleId="1--1">
    <w:name w:val="т1-вит-прил.1"/>
    <w:basedOn w:val="a0"/>
    <w:rsid w:val="00437615"/>
    <w:pPr>
      <w:keepNext/>
      <w:keepLines/>
      <w:numPr>
        <w:numId w:val="1"/>
      </w:numPr>
      <w:tabs>
        <w:tab w:val="left" w:pos="720"/>
      </w:tabs>
      <w:spacing w:before="240" w:after="120"/>
      <w:jc w:val="both"/>
      <w:outlineLvl w:val="0"/>
    </w:pPr>
  </w:style>
  <w:style w:type="paragraph" w:customStyle="1" w:styleId="3">
    <w:name w:val="т3"/>
    <w:basedOn w:val="a0"/>
    <w:rsid w:val="00437615"/>
    <w:pPr>
      <w:widowControl w:val="0"/>
      <w:numPr>
        <w:ilvl w:val="2"/>
        <w:numId w:val="1"/>
      </w:numPr>
      <w:spacing w:before="60"/>
      <w:jc w:val="both"/>
      <w:outlineLvl w:val="2"/>
    </w:pPr>
  </w:style>
  <w:style w:type="paragraph" w:customStyle="1" w:styleId="8-2-">
    <w:name w:val="т8кст-2-вит"/>
    <w:basedOn w:val="a0"/>
    <w:link w:val="8-2-0"/>
    <w:rsid w:val="00586E2C"/>
    <w:pPr>
      <w:widowControl w:val="0"/>
      <w:tabs>
        <w:tab w:val="left" w:pos="567"/>
      </w:tabs>
      <w:spacing w:before="60"/>
      <w:ind w:left="720"/>
      <w:jc w:val="both"/>
      <w:outlineLvl w:val="1"/>
    </w:pPr>
  </w:style>
  <w:style w:type="character" w:customStyle="1" w:styleId="8-2-0">
    <w:name w:val="т8кст-2-вит Знак"/>
    <w:link w:val="8-2-"/>
    <w:rsid w:val="00586E2C"/>
    <w:rPr>
      <w:sz w:val="24"/>
      <w:szCs w:val="24"/>
    </w:rPr>
  </w:style>
  <w:style w:type="character" w:styleId="af7">
    <w:name w:val="Placeholder Text"/>
    <w:uiPriority w:val="99"/>
    <w:semiHidden/>
    <w:rsid w:val="0083499D"/>
    <w:rPr>
      <w:color w:val="808080"/>
    </w:rPr>
  </w:style>
  <w:style w:type="paragraph" w:styleId="af8">
    <w:name w:val="List Paragraph"/>
    <w:basedOn w:val="a0"/>
    <w:link w:val="af9"/>
    <w:uiPriority w:val="34"/>
    <w:qFormat/>
    <w:rsid w:val="007D27A8"/>
    <w:pPr>
      <w:ind w:left="720"/>
      <w:contextualSpacing/>
    </w:pPr>
  </w:style>
  <w:style w:type="character" w:customStyle="1" w:styleId="af9">
    <w:name w:val="Абзац списка Знак"/>
    <w:link w:val="af8"/>
    <w:uiPriority w:val="34"/>
    <w:locked/>
    <w:rsid w:val="00EF78C6"/>
    <w:rPr>
      <w:sz w:val="24"/>
      <w:szCs w:val="24"/>
    </w:rPr>
  </w:style>
  <w:style w:type="paragraph" w:customStyle="1" w:styleId="ConsTitle">
    <w:name w:val="ConsTitle"/>
    <w:rsid w:val="00A634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a">
    <w:name w:val="Body Text Indent"/>
    <w:aliases w:val="Основной текст с отступом Знак2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1"/>
    <w:basedOn w:val="a0"/>
    <w:link w:val="afb"/>
    <w:rsid w:val="00711074"/>
    <w:pPr>
      <w:autoSpaceDE w:val="0"/>
      <w:autoSpaceDN w:val="0"/>
      <w:adjustRightInd w:val="0"/>
      <w:spacing w:before="120" w:line="240" w:lineRule="atLeast"/>
      <w:ind w:firstLine="539"/>
    </w:pPr>
  </w:style>
  <w:style w:type="character" w:customStyle="1" w:styleId="afb">
    <w:name w:val="Основной текст с отступом Знак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1 Знак"/>
    <w:link w:val="afa"/>
    <w:rsid w:val="0024199E"/>
    <w:rPr>
      <w:sz w:val="24"/>
      <w:szCs w:val="24"/>
    </w:rPr>
  </w:style>
  <w:style w:type="character" w:customStyle="1" w:styleId="msoins0">
    <w:name w:val="msoins"/>
    <w:basedOn w:val="a1"/>
    <w:rsid w:val="00FF6D6D"/>
  </w:style>
  <w:style w:type="paragraph" w:styleId="afc">
    <w:name w:val="Normal (Web)"/>
    <w:basedOn w:val="a0"/>
    <w:rsid w:val="00DE42E3"/>
    <w:pPr>
      <w:spacing w:before="100" w:beforeAutospacing="1" w:after="100" w:afterAutospacing="1"/>
    </w:pPr>
  </w:style>
  <w:style w:type="character" w:styleId="afd">
    <w:name w:val="Hyperlink"/>
    <w:uiPriority w:val="99"/>
    <w:rsid w:val="00926840"/>
    <w:rPr>
      <w:strike w:val="0"/>
      <w:dstrike w:val="0"/>
      <w:color w:val="1A3DC1"/>
      <w:u w:val="single"/>
      <w:effect w:val="none"/>
    </w:rPr>
  </w:style>
  <w:style w:type="paragraph" w:styleId="32">
    <w:name w:val="toc 3"/>
    <w:basedOn w:val="a0"/>
    <w:next w:val="a0"/>
    <w:autoRedefine/>
    <w:uiPriority w:val="39"/>
    <w:rsid w:val="00AC3C9C"/>
    <w:pPr>
      <w:ind w:left="24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7C039D"/>
    <w:pPr>
      <w:ind w:left="1200"/>
    </w:pPr>
  </w:style>
  <w:style w:type="paragraph" w:customStyle="1" w:styleId="Termin">
    <w:name w:val="Termin"/>
    <w:basedOn w:val="a0"/>
    <w:qFormat/>
    <w:rsid w:val="008F3D79"/>
    <w:pPr>
      <w:tabs>
        <w:tab w:val="right" w:pos="9356"/>
      </w:tabs>
      <w:spacing w:before="120"/>
    </w:pPr>
    <w:rPr>
      <w:rFonts w:cs="Arial"/>
      <w:b/>
      <w:i/>
      <w:noProof/>
    </w:rPr>
  </w:style>
  <w:style w:type="paragraph" w:customStyle="1" w:styleId="Text">
    <w:name w:val="Text"/>
    <w:basedOn w:val="a0"/>
    <w:qFormat/>
    <w:rsid w:val="008F3D79"/>
    <w:pPr>
      <w:tabs>
        <w:tab w:val="right" w:pos="9356"/>
      </w:tabs>
      <w:jc w:val="both"/>
    </w:pPr>
    <w:rPr>
      <w:iCs/>
      <w:lang w:val="en-US"/>
    </w:rPr>
  </w:style>
  <w:style w:type="paragraph" w:customStyle="1" w:styleId="nfaanounce">
    <w:name w:val="nfaanounce"/>
    <w:basedOn w:val="a0"/>
    <w:rsid w:val="00F1546F"/>
    <w:pPr>
      <w:spacing w:before="30" w:after="30"/>
      <w:ind w:left="30" w:right="30"/>
      <w:jc w:val="both"/>
      <w:textAlignment w:val="baseline"/>
    </w:pPr>
    <w:rPr>
      <w:rFonts w:ascii="Trebuchet MS" w:hAnsi="Trebuchet MS"/>
      <w:color w:val="23190C"/>
      <w:sz w:val="20"/>
      <w:szCs w:val="20"/>
    </w:rPr>
  </w:style>
  <w:style w:type="paragraph" w:customStyle="1" w:styleId="ConsPlusTitle">
    <w:name w:val="ConsPlusTitle"/>
    <w:uiPriority w:val="99"/>
    <w:rsid w:val="009B3FA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">
    <w:name w:val="т1"/>
    <w:basedOn w:val="a0"/>
    <w:next w:val="a0"/>
    <w:rsid w:val="005D0B16"/>
    <w:pPr>
      <w:keepNext/>
      <w:keepLines/>
      <w:tabs>
        <w:tab w:val="num" w:pos="360"/>
        <w:tab w:val="left" w:pos="680"/>
        <w:tab w:val="left" w:pos="1021"/>
      </w:tabs>
      <w:spacing w:before="240" w:after="240"/>
      <w:jc w:val="both"/>
      <w:outlineLvl w:val="0"/>
    </w:pPr>
    <w:rPr>
      <w:b/>
    </w:rPr>
  </w:style>
  <w:style w:type="paragraph" w:customStyle="1" w:styleId="21">
    <w:name w:val="т2"/>
    <w:basedOn w:val="a0"/>
    <w:rsid w:val="005D0B16"/>
    <w:pPr>
      <w:widowControl w:val="0"/>
      <w:tabs>
        <w:tab w:val="left" w:pos="680"/>
      </w:tabs>
      <w:spacing w:before="120"/>
      <w:jc w:val="both"/>
      <w:outlineLvl w:val="1"/>
    </w:pPr>
  </w:style>
  <w:style w:type="paragraph" w:customStyle="1" w:styleId="8-31">
    <w:name w:val="т8кст-31"/>
    <w:basedOn w:val="a0"/>
    <w:next w:val="a0"/>
    <w:rsid w:val="005D0B16"/>
    <w:pPr>
      <w:widowControl w:val="0"/>
      <w:tabs>
        <w:tab w:val="left" w:pos="680"/>
      </w:tabs>
      <w:spacing w:before="60"/>
      <w:ind w:left="681" w:hanging="397"/>
      <w:jc w:val="both"/>
    </w:pPr>
  </w:style>
  <w:style w:type="paragraph" w:customStyle="1" w:styleId="Default">
    <w:name w:val="Default"/>
    <w:rsid w:val="00E37F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malltext1">
    <w:name w:val="smalltext1"/>
    <w:rsid w:val="00862CBC"/>
    <w:rPr>
      <w:rFonts w:ascii="Arial" w:hAnsi="Arial" w:cs="Arial" w:hint="default"/>
      <w:sz w:val="18"/>
      <w:szCs w:val="18"/>
    </w:rPr>
  </w:style>
  <w:style w:type="paragraph" w:customStyle="1" w:styleId="8-2">
    <w:name w:val="т8кст-2"/>
    <w:basedOn w:val="a0"/>
    <w:rsid w:val="005D23C8"/>
    <w:pPr>
      <w:widowControl w:val="0"/>
      <w:tabs>
        <w:tab w:val="left" w:pos="567"/>
      </w:tabs>
      <w:spacing w:before="120"/>
      <w:ind w:left="680"/>
      <w:jc w:val="both"/>
      <w:outlineLvl w:val="1"/>
    </w:pPr>
  </w:style>
  <w:style w:type="character" w:customStyle="1" w:styleId="afe">
    <w:name w:val="Гипертекстовая ссылка"/>
    <w:rsid w:val="00915F86"/>
    <w:rPr>
      <w:color w:val="008000"/>
    </w:rPr>
  </w:style>
  <w:style w:type="paragraph" w:customStyle="1" w:styleId="Iauiue3">
    <w:name w:val="Iau?iue3"/>
    <w:rsid w:val="003004C1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styleId="aff">
    <w:name w:val="Body Text"/>
    <w:basedOn w:val="a0"/>
    <w:link w:val="aff0"/>
    <w:rsid w:val="0024199E"/>
    <w:rPr>
      <w:color w:val="FF0000"/>
      <w:sz w:val="22"/>
      <w:szCs w:val="22"/>
    </w:rPr>
  </w:style>
  <w:style w:type="character" w:customStyle="1" w:styleId="aff0">
    <w:name w:val="Основной текст Знак"/>
    <w:link w:val="aff"/>
    <w:rsid w:val="0024199E"/>
    <w:rPr>
      <w:color w:val="FF0000"/>
      <w:sz w:val="22"/>
      <w:szCs w:val="22"/>
    </w:rPr>
  </w:style>
  <w:style w:type="paragraph" w:customStyle="1" w:styleId="aff1">
    <w:name w:val="Документ ММВБ"/>
    <w:basedOn w:val="a0"/>
    <w:rsid w:val="0024199E"/>
    <w:pPr>
      <w:spacing w:before="120" w:after="120"/>
      <w:ind w:firstLine="851"/>
      <w:jc w:val="both"/>
    </w:pPr>
    <w:rPr>
      <w:rFonts w:ascii="Baltica" w:hAnsi="Baltica"/>
      <w:szCs w:val="20"/>
    </w:rPr>
  </w:style>
  <w:style w:type="paragraph" w:customStyle="1" w:styleId="aff2">
    <w:name w:val="Текст пункта без номера"/>
    <w:basedOn w:val="a0"/>
    <w:rsid w:val="0024199E"/>
    <w:pPr>
      <w:spacing w:before="120" w:after="120"/>
      <w:ind w:firstLine="709"/>
      <w:jc w:val="both"/>
    </w:pPr>
    <w:rPr>
      <w:szCs w:val="20"/>
    </w:rPr>
  </w:style>
  <w:style w:type="character" w:customStyle="1" w:styleId="aff3">
    <w:name w:val="Текст пункта без номера Знак"/>
    <w:rsid w:val="0024199E"/>
    <w:rPr>
      <w:noProof w:val="0"/>
      <w:sz w:val="24"/>
      <w:lang w:val="ru-RU" w:eastAsia="ru-RU" w:bidi="ar-SA"/>
    </w:rPr>
  </w:style>
  <w:style w:type="character" w:styleId="aff4">
    <w:name w:val="Strong"/>
    <w:uiPriority w:val="22"/>
    <w:qFormat/>
    <w:rsid w:val="0024199E"/>
    <w:rPr>
      <w:b/>
      <w:bCs/>
    </w:rPr>
  </w:style>
  <w:style w:type="paragraph" w:customStyle="1" w:styleId="a">
    <w:name w:val="Правила"/>
    <w:basedOn w:val="a0"/>
    <w:next w:val="aff1"/>
    <w:rsid w:val="0024199E"/>
    <w:pPr>
      <w:numPr>
        <w:ilvl w:val="1"/>
        <w:numId w:val="30"/>
      </w:numPr>
      <w:tabs>
        <w:tab w:val="left" w:pos="1080"/>
      </w:tabs>
      <w:spacing w:after="120"/>
      <w:jc w:val="both"/>
      <w:outlineLvl w:val="1"/>
    </w:pPr>
  </w:style>
  <w:style w:type="paragraph" w:customStyle="1" w:styleId="aff5">
    <w:name w:val="Текст приложений"/>
    <w:basedOn w:val="aff6"/>
    <w:rsid w:val="0024199E"/>
    <w:pPr>
      <w:ind w:firstLine="283"/>
      <w:jc w:val="both"/>
    </w:pPr>
    <w:rPr>
      <w:rFonts w:ascii="Baltica" w:hAnsi="Baltica" w:cs="Times New Roman"/>
      <w:snapToGrid w:val="0"/>
      <w:sz w:val="18"/>
    </w:rPr>
  </w:style>
  <w:style w:type="paragraph" w:styleId="aff6">
    <w:name w:val="Plain Text"/>
    <w:basedOn w:val="a0"/>
    <w:link w:val="aff7"/>
    <w:rsid w:val="0024199E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link w:val="aff6"/>
    <w:rsid w:val="0024199E"/>
    <w:rPr>
      <w:rFonts w:ascii="Courier New" w:hAnsi="Courier New" w:cs="Courier New"/>
    </w:rPr>
  </w:style>
  <w:style w:type="paragraph" w:styleId="12">
    <w:name w:val="toc 1"/>
    <w:basedOn w:val="a0"/>
    <w:next w:val="a0"/>
    <w:autoRedefine/>
    <w:uiPriority w:val="39"/>
    <w:rsid w:val="0024199E"/>
    <w:pPr>
      <w:spacing w:before="360"/>
    </w:pPr>
    <w:rPr>
      <w:rFonts w:ascii="Arial" w:hAnsi="Arial" w:cs="Arial"/>
      <w:b/>
      <w:bCs/>
      <w:caps/>
    </w:rPr>
  </w:style>
  <w:style w:type="paragraph" w:styleId="22">
    <w:name w:val="toc 2"/>
    <w:basedOn w:val="a0"/>
    <w:next w:val="a0"/>
    <w:autoRedefine/>
    <w:uiPriority w:val="39"/>
    <w:rsid w:val="0024199E"/>
    <w:pPr>
      <w:spacing w:before="240"/>
    </w:pPr>
    <w:rPr>
      <w:b/>
      <w:bCs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24199E"/>
    <w:pPr>
      <w:ind w:left="48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24199E"/>
    <w:pPr>
      <w:ind w:left="72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24199E"/>
    <w:pPr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24199E"/>
    <w:pPr>
      <w:ind w:left="14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24199E"/>
    <w:pPr>
      <w:ind w:left="1680"/>
    </w:pPr>
    <w:rPr>
      <w:sz w:val="20"/>
      <w:szCs w:val="20"/>
    </w:rPr>
  </w:style>
  <w:style w:type="paragraph" w:customStyle="1" w:styleId="Glossary">
    <w:name w:val="Glossary"/>
    <w:basedOn w:val="a0"/>
    <w:rsid w:val="0024199E"/>
    <w:pPr>
      <w:spacing w:before="120" w:after="120"/>
      <w:jc w:val="both"/>
    </w:pPr>
    <w:rPr>
      <w:szCs w:val="20"/>
    </w:rPr>
  </w:style>
  <w:style w:type="paragraph" w:styleId="aff8">
    <w:name w:val="Document Map"/>
    <w:basedOn w:val="a0"/>
    <w:link w:val="aff9"/>
    <w:rsid w:val="00241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link w:val="aff8"/>
    <w:rsid w:val="0024199E"/>
    <w:rPr>
      <w:rFonts w:ascii="Tahoma" w:hAnsi="Tahoma" w:cs="Tahoma"/>
      <w:shd w:val="clear" w:color="auto" w:fill="000080"/>
    </w:rPr>
  </w:style>
  <w:style w:type="paragraph" w:customStyle="1" w:styleId="BodyText22">
    <w:name w:val="Body Text 22"/>
    <w:basedOn w:val="a0"/>
    <w:rsid w:val="0024199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msoins00">
    <w:name w:val="msoins0"/>
    <w:basedOn w:val="a1"/>
    <w:rsid w:val="0024199E"/>
  </w:style>
  <w:style w:type="paragraph" w:customStyle="1" w:styleId="ConsPlusNonformat">
    <w:name w:val="ConsPlusNonformat"/>
    <w:rsid w:val="002419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a">
    <w:name w:val="FollowedHyperlink"/>
    <w:rsid w:val="0024199E"/>
    <w:rPr>
      <w:color w:val="800080"/>
      <w:u w:val="single"/>
    </w:rPr>
  </w:style>
  <w:style w:type="paragraph" w:styleId="affb">
    <w:name w:val="Revision"/>
    <w:hidden/>
    <w:uiPriority w:val="99"/>
    <w:semiHidden/>
    <w:rsid w:val="00626C09"/>
    <w:rPr>
      <w:sz w:val="24"/>
      <w:szCs w:val="24"/>
    </w:rPr>
  </w:style>
  <w:style w:type="paragraph" w:customStyle="1" w:styleId="ConsPlusNormal">
    <w:name w:val="ConsPlusNormal"/>
    <w:basedOn w:val="a0"/>
    <w:rsid w:val="00EF78C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33">
    <w:name w:val="Body Text 3"/>
    <w:basedOn w:val="a0"/>
    <w:link w:val="34"/>
    <w:rsid w:val="00EF78C6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EF78C6"/>
    <w:rPr>
      <w:sz w:val="16"/>
      <w:szCs w:val="16"/>
      <w:lang w:val="x-none" w:eastAsia="x-none"/>
    </w:rPr>
  </w:style>
  <w:style w:type="paragraph" w:customStyle="1" w:styleId="SubHeading">
    <w:name w:val="Sub Heading"/>
    <w:uiPriority w:val="99"/>
    <w:rsid w:val="00EF78C6"/>
    <w:pPr>
      <w:widowControl w:val="0"/>
      <w:autoSpaceDE w:val="0"/>
      <w:autoSpaceDN w:val="0"/>
      <w:adjustRightInd w:val="0"/>
      <w:spacing w:before="240" w:after="40"/>
    </w:pPr>
  </w:style>
  <w:style w:type="character" w:customStyle="1" w:styleId="w">
    <w:name w:val="w"/>
    <w:rsid w:val="00EF78C6"/>
  </w:style>
  <w:style w:type="paragraph" w:styleId="23">
    <w:name w:val="Body Text Indent 2"/>
    <w:basedOn w:val="a0"/>
    <w:link w:val="24"/>
    <w:rsid w:val="00EF78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EF78C6"/>
    <w:rPr>
      <w:sz w:val="24"/>
      <w:szCs w:val="24"/>
    </w:rPr>
  </w:style>
  <w:style w:type="character" w:customStyle="1" w:styleId="a20">
    <w:name w:val="a2"/>
    <w:rsid w:val="00EF78C6"/>
  </w:style>
  <w:style w:type="paragraph" w:customStyle="1" w:styleId="Pa21">
    <w:name w:val="Pa21"/>
    <w:basedOn w:val="Default"/>
    <w:next w:val="Default"/>
    <w:uiPriority w:val="99"/>
    <w:rsid w:val="00EF78C6"/>
    <w:pPr>
      <w:spacing w:line="181" w:lineRule="atLeast"/>
    </w:pPr>
    <w:rPr>
      <w:rFonts w:ascii="Bliss Pro Light" w:hAnsi="Bliss Pro Ligh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6AF8-4422-423F-921E-2BE22A96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3039</Words>
  <Characters>22968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MICEX</Company>
  <LinksUpToDate>false</LinksUpToDate>
  <CharactersWithSpaces>25956</CharactersWithSpaces>
  <SharedDoc>false</SharedDoc>
  <HLinks>
    <vt:vector size="48" baseType="variant">
      <vt:variant>
        <vt:i4>2490404</vt:i4>
      </vt:variant>
      <vt:variant>
        <vt:i4>51</vt:i4>
      </vt:variant>
      <vt:variant>
        <vt:i4>0</vt:i4>
      </vt:variant>
      <vt:variant>
        <vt:i4>5</vt:i4>
      </vt:variant>
      <vt:variant>
        <vt:lpwstr>http://www.roskazna.ru/reports/mb.html</vt:lpwstr>
      </vt:variant>
      <vt:variant>
        <vt:lpwstr/>
      </vt:variant>
      <vt:variant>
        <vt:i4>8257641</vt:i4>
      </vt:variant>
      <vt:variant>
        <vt:i4>48</vt:i4>
      </vt:variant>
      <vt:variant>
        <vt:i4>0</vt:i4>
      </vt:variant>
      <vt:variant>
        <vt:i4>5</vt:i4>
      </vt:variant>
      <vt:variant>
        <vt:lpwstr>http://www.multitran.ru/c/m.exe?t=16814_1_2</vt:lpwstr>
      </vt:variant>
      <vt:variant>
        <vt:lpwstr/>
      </vt:variant>
      <vt:variant>
        <vt:i4>8257641</vt:i4>
      </vt:variant>
      <vt:variant>
        <vt:i4>45</vt:i4>
      </vt:variant>
      <vt:variant>
        <vt:i4>0</vt:i4>
      </vt:variant>
      <vt:variant>
        <vt:i4>5</vt:i4>
      </vt:variant>
      <vt:variant>
        <vt:lpwstr>http://www.multitran.ru/c/m.exe?t=16814_1_2</vt:lpwstr>
      </vt:variant>
      <vt:variant>
        <vt:lpwstr/>
      </vt:variant>
      <vt:variant>
        <vt:i4>4915280</vt:i4>
      </vt:variant>
      <vt:variant>
        <vt:i4>42</vt:i4>
      </vt:variant>
      <vt:variant>
        <vt:i4>0</vt:i4>
      </vt:variant>
      <vt:variant>
        <vt:i4>5</vt:i4>
      </vt:variant>
      <vt:variant>
        <vt:lpwstr>http://www.multitran.ru/c/m.exe?t=1391804_1_2</vt:lpwstr>
      </vt:variant>
      <vt:variant>
        <vt:lpwstr/>
      </vt:variant>
      <vt:variant>
        <vt:i4>8257641</vt:i4>
      </vt:variant>
      <vt:variant>
        <vt:i4>39</vt:i4>
      </vt:variant>
      <vt:variant>
        <vt:i4>0</vt:i4>
      </vt:variant>
      <vt:variant>
        <vt:i4>5</vt:i4>
      </vt:variant>
      <vt:variant>
        <vt:lpwstr>http://www.multitran.ru/c/m.exe?t=16814_1_2</vt:lpwstr>
      </vt:variant>
      <vt:variant>
        <vt:lpwstr/>
      </vt:variant>
      <vt:variant>
        <vt:i4>5177425</vt:i4>
      </vt:variant>
      <vt:variant>
        <vt:i4>36</vt:i4>
      </vt:variant>
      <vt:variant>
        <vt:i4>0</vt:i4>
      </vt:variant>
      <vt:variant>
        <vt:i4>5</vt:i4>
      </vt:variant>
      <vt:variant>
        <vt:lpwstr>http://www.multitran.ru/c/m.exe?t=4671711_1_2</vt:lpwstr>
      </vt:variant>
      <vt:variant>
        <vt:lpwstr/>
      </vt:variant>
      <vt:variant>
        <vt:i4>4915280</vt:i4>
      </vt:variant>
      <vt:variant>
        <vt:i4>33</vt:i4>
      </vt:variant>
      <vt:variant>
        <vt:i4>0</vt:i4>
      </vt:variant>
      <vt:variant>
        <vt:i4>5</vt:i4>
      </vt:variant>
      <vt:variant>
        <vt:lpwstr>http://www.multitran.ru/c/m.exe?t=1391804_1_2</vt:lpwstr>
      </vt:variant>
      <vt:variant>
        <vt:lpwstr/>
      </vt:variant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http://www.multitran.ru/c/m.exe?t=4514908_2_1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lukashin</dc:creator>
  <cp:keywords/>
  <dc:description/>
  <cp:lastModifiedBy>Цыганова Яна Андреевна</cp:lastModifiedBy>
  <cp:revision>4</cp:revision>
  <cp:lastPrinted>2011-10-19T11:43:00Z</cp:lastPrinted>
  <dcterms:created xsi:type="dcterms:W3CDTF">2017-02-20T10:19:00Z</dcterms:created>
  <dcterms:modified xsi:type="dcterms:W3CDTF">2017-02-20T12:35:00Z</dcterms:modified>
</cp:coreProperties>
</file>