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546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7088"/>
        <w:gridCol w:w="2693"/>
      </w:tblGrid>
      <w:tr w:rsidR="00922776" w:rsidRPr="004B4FFB" w:rsidTr="00AC564F">
        <w:trPr>
          <w:trHeight w:val="990"/>
        </w:trPr>
        <w:tc>
          <w:tcPr>
            <w:tcW w:w="2547" w:type="dxa"/>
            <w:shd w:val="clear" w:color="auto" w:fill="ED7D31" w:themeFill="accent2"/>
            <w:vAlign w:val="center"/>
          </w:tcPr>
          <w:p w:rsidR="00922776" w:rsidRPr="004B4FFB" w:rsidRDefault="00922776" w:rsidP="007440AE">
            <w:pPr>
              <w:spacing w:before="240" w:after="240"/>
              <w:ind w:left="317" w:hanging="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4FFB">
              <w:rPr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22776" w:rsidRPr="004B4FFB" w:rsidRDefault="00922776" w:rsidP="007440AE">
            <w:pPr>
              <w:spacing w:before="240" w:after="240"/>
              <w:ind w:right="-9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4FFB">
              <w:rPr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4B4FFB">
              <w:rPr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7088" w:type="dxa"/>
            <w:shd w:val="clear" w:color="auto" w:fill="ED7D31" w:themeFill="accent2"/>
            <w:vAlign w:val="center"/>
          </w:tcPr>
          <w:p w:rsidR="00922776" w:rsidRPr="004B4FFB" w:rsidRDefault="00922776" w:rsidP="007440AE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4FFB">
              <w:rPr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2693" w:type="dxa"/>
            <w:shd w:val="clear" w:color="auto" w:fill="ED7D31" w:themeFill="accent2"/>
            <w:vAlign w:val="center"/>
          </w:tcPr>
          <w:p w:rsidR="00922776" w:rsidRPr="004B4FFB" w:rsidRDefault="00922776" w:rsidP="007440AE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4FFB">
              <w:rPr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4B4FFB">
              <w:rPr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922776" w:rsidRPr="004B4FFB" w:rsidTr="00AC564F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FF0D57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FF0D57">
              <w:rPr>
                <w:b/>
                <w:sz w:val="22"/>
                <w:szCs w:val="22"/>
              </w:rPr>
              <w:t>втоматизаци</w:t>
            </w:r>
            <w:r>
              <w:rPr>
                <w:b/>
                <w:sz w:val="22"/>
                <w:szCs w:val="22"/>
              </w:rPr>
              <w:t>я</w:t>
            </w:r>
            <w:r w:rsidRPr="00FF0D57">
              <w:rPr>
                <w:b/>
                <w:sz w:val="22"/>
                <w:szCs w:val="22"/>
              </w:rPr>
              <w:t xml:space="preserve"> процедуры Перевода обязательств и Обеспечения, замены Торгово-клирингового счета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Подпункт 40.8.3, пункты 58.13, 58.16-58.18, 58.22 общей части Правил клиринга, пункт 7.5 приложения 6 к общей части Правил клиринга.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 xml:space="preserve">Изменения касаются автоматизации </w:t>
            </w:r>
            <w:r w:rsidRPr="004B4FFB">
              <w:rPr>
                <w:color w:val="000000" w:themeColor="text1"/>
                <w:sz w:val="22"/>
                <w:szCs w:val="22"/>
              </w:rPr>
              <w:t>процедуры Перевода обязательств и Обеспечения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Pr="004B4FFB">
              <w:rPr>
                <w:color w:val="000000" w:themeColor="text1"/>
                <w:sz w:val="22"/>
                <w:szCs w:val="22"/>
              </w:rPr>
              <w:t>замен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ы</w:t>
            </w:r>
            <w:r w:rsidRPr="004B4FFB">
              <w:rPr>
                <w:color w:val="000000" w:themeColor="text1"/>
                <w:sz w:val="22"/>
                <w:szCs w:val="22"/>
              </w:rPr>
              <w:t xml:space="preserve"> Торгово-клирингового счета</w:t>
            </w:r>
            <w:r w:rsidRPr="004B4FFB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 w:themeColor="text1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действующей редакции правил клиринга определено, что при</w:t>
            </w:r>
            <w:r w:rsidRPr="004B4FFB">
              <w:rPr>
                <w:sz w:val="22"/>
                <w:szCs w:val="22"/>
                <w:lang w:val="ru-RU"/>
              </w:rPr>
              <w:t xml:space="preserve"> </w:t>
            </w:r>
            <w:r w:rsidRPr="004B4FFB">
              <w:rPr>
                <w:color w:val="000000" w:themeColor="text1"/>
                <w:sz w:val="22"/>
                <w:szCs w:val="22"/>
              </w:rPr>
              <w:t>проведени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и</w:t>
            </w:r>
            <w:r w:rsidRPr="004B4FFB">
              <w:rPr>
                <w:color w:val="000000" w:themeColor="text1"/>
                <w:sz w:val="22"/>
                <w:szCs w:val="22"/>
              </w:rPr>
              <w:t xml:space="preserve"> процедуры Перевода обязательств и Обеспечения, Клиринговый центр устанавливает Режим урегулирования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B4FFB">
              <w:rPr>
                <w:color w:val="000000" w:themeColor="text1"/>
                <w:sz w:val="22"/>
                <w:szCs w:val="22"/>
              </w:rPr>
              <w:t xml:space="preserve">по Расчетному коду 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 xml:space="preserve">Базового </w:t>
            </w:r>
            <w:r w:rsidRPr="004B4FFB">
              <w:rPr>
                <w:color w:val="000000" w:themeColor="text1"/>
                <w:sz w:val="22"/>
                <w:szCs w:val="22"/>
              </w:rPr>
              <w:t>Участника клиринга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Pr="004B4FF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Новой редакцией</w:t>
            </w:r>
            <w:r w:rsidRPr="004B4FF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B4FFB">
              <w:rPr>
                <w:sz w:val="22"/>
                <w:szCs w:val="22"/>
                <w:lang w:val="ru-RU"/>
              </w:rPr>
              <w:t xml:space="preserve">определено, что в </w:t>
            </w:r>
            <w:r w:rsidRPr="004B4FFB">
              <w:rPr>
                <w:color w:val="000000" w:themeColor="text1"/>
                <w:sz w:val="22"/>
                <w:szCs w:val="22"/>
              </w:rPr>
              <w:t>случае проведения процедуры Перевода обязательств и Обеспечения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4B4FFB">
              <w:rPr>
                <w:color w:val="000000" w:themeColor="text1"/>
                <w:sz w:val="22"/>
                <w:szCs w:val="22"/>
              </w:rPr>
              <w:t xml:space="preserve">по 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поручению Базового Участника клиринга</w:t>
            </w:r>
            <w:r w:rsidRPr="004B4FFB">
              <w:rPr>
                <w:color w:val="000000" w:themeColor="text1"/>
                <w:sz w:val="22"/>
                <w:szCs w:val="22"/>
              </w:rPr>
              <w:t>, Клиринговый центр устанавливает Режим урегулирования также и по Расчетному коду Участника клиринга – реципиента</w:t>
            </w: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 w:themeColor="text1"/>
                <w:sz w:val="22"/>
                <w:szCs w:val="22"/>
                <w:lang w:val="ru-RU"/>
              </w:rPr>
            </w:pPr>
            <w:bookmarkStart w:id="0" w:name="_Hlk51766735"/>
            <w:r w:rsidRPr="001A3DC4">
              <w:rPr>
                <w:sz w:val="22"/>
                <w:szCs w:val="22"/>
                <w:lang w:val="ru-RU"/>
              </w:rPr>
              <w:t xml:space="preserve">Определены случаи, при которых </w:t>
            </w:r>
            <w:r w:rsidRPr="001A3DC4">
              <w:rPr>
                <w:color w:val="000000" w:themeColor="text1"/>
                <w:sz w:val="22"/>
                <w:szCs w:val="22"/>
              </w:rPr>
              <w:t>процедур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  <w:r w:rsidRPr="001A3DC4">
              <w:rPr>
                <w:color w:val="000000" w:themeColor="text1"/>
                <w:sz w:val="22"/>
                <w:szCs w:val="22"/>
              </w:rPr>
              <w:t xml:space="preserve"> Перевода обязательств и Обеспечения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 xml:space="preserve"> не проводится</w:t>
            </w:r>
            <w:r w:rsidR="001A3DC4" w:rsidRPr="001A3DC4">
              <w:rPr>
                <w:color w:val="000000" w:themeColor="text1"/>
                <w:sz w:val="22"/>
                <w:szCs w:val="22"/>
                <w:lang w:val="ru-RU"/>
              </w:rPr>
              <w:t xml:space="preserve"> (п.58.16)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bookmarkStart w:id="1" w:name="_Hlk51767778"/>
            <w:bookmarkEnd w:id="0"/>
            <w:r w:rsidRPr="004B4FFB">
              <w:rPr>
                <w:sz w:val="22"/>
                <w:szCs w:val="22"/>
                <w:lang w:val="ru-RU"/>
              </w:rPr>
              <w:t>Установлено, что в случае е</w:t>
            </w:r>
            <w:r w:rsidRPr="004B4FFB">
              <w:rPr>
                <w:sz w:val="22"/>
                <w:szCs w:val="22"/>
              </w:rPr>
              <w:t xml:space="preserve">сли процедура Перевода обязательств и Обеспечения проводится </w:t>
            </w:r>
            <w:r w:rsidRPr="004B4FFB">
              <w:rPr>
                <w:sz w:val="22"/>
                <w:szCs w:val="22"/>
                <w:lang w:val="ru-RU"/>
              </w:rPr>
              <w:t>при банкротстве или отзыве лиценции</w:t>
            </w:r>
            <w:r w:rsidRPr="004B4FFB">
              <w:rPr>
                <w:sz w:val="22"/>
                <w:szCs w:val="22"/>
              </w:rPr>
              <w:t xml:space="preserve"> и Дата исполнения обязательства приходится на период </w:t>
            </w:r>
            <w:r w:rsidRPr="004B4FFB">
              <w:rPr>
                <w:sz w:val="22"/>
                <w:szCs w:val="22"/>
                <w:lang w:val="ru-RU"/>
              </w:rPr>
              <w:t xml:space="preserve">проведения указанной </w:t>
            </w:r>
            <w:r w:rsidRPr="004B4FFB">
              <w:rPr>
                <w:sz w:val="22"/>
                <w:szCs w:val="22"/>
              </w:rPr>
              <w:t>процедуры</w:t>
            </w:r>
            <w:r w:rsidRPr="001A3DC4">
              <w:rPr>
                <w:sz w:val="22"/>
                <w:szCs w:val="22"/>
              </w:rPr>
              <w:t xml:space="preserve">, Дата исполнения обязательства </w:t>
            </w:r>
            <w:r w:rsidRPr="001A3DC4">
              <w:rPr>
                <w:sz w:val="22"/>
                <w:szCs w:val="22"/>
                <w:lang w:val="ru-RU"/>
              </w:rPr>
              <w:t>изменяется</w:t>
            </w:r>
            <w:r w:rsidR="001A3DC4" w:rsidRPr="001A3DC4">
              <w:rPr>
                <w:sz w:val="22"/>
                <w:szCs w:val="22"/>
                <w:lang w:val="ru-RU"/>
              </w:rPr>
              <w:t xml:space="preserve"> (п.58.18)</w:t>
            </w:r>
            <w:r w:rsidRPr="001A3DC4">
              <w:rPr>
                <w:sz w:val="22"/>
                <w:szCs w:val="22"/>
                <w:lang w:val="ru-RU"/>
              </w:rPr>
              <w:t>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 w:themeColor="text1"/>
                <w:sz w:val="22"/>
                <w:szCs w:val="22"/>
                <w:lang w:val="ru-RU"/>
              </w:rPr>
            </w:pPr>
            <w:bookmarkStart w:id="2" w:name="_Hlk51769375"/>
            <w:bookmarkEnd w:id="1"/>
            <w:r w:rsidRPr="001A3DC4">
              <w:rPr>
                <w:sz w:val="22"/>
                <w:szCs w:val="22"/>
                <w:lang w:val="ru-RU"/>
              </w:rPr>
              <w:t xml:space="preserve">Условия исполнения </w:t>
            </w:r>
            <w:r w:rsidRPr="001A3DC4">
              <w:rPr>
                <w:color w:val="000000" w:themeColor="text1"/>
                <w:sz w:val="22"/>
                <w:szCs w:val="22"/>
              </w:rPr>
              <w:t>Запрос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  <w:r w:rsidRPr="001A3DC4">
              <w:rPr>
                <w:color w:val="000000" w:themeColor="text1"/>
                <w:sz w:val="22"/>
                <w:szCs w:val="22"/>
              </w:rPr>
              <w:t xml:space="preserve"> на замену Торгово-клирингового счета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 xml:space="preserve"> дополнены тремя новыми условиями</w:t>
            </w:r>
            <w:r w:rsidR="001A3DC4" w:rsidRPr="001A3DC4">
              <w:rPr>
                <w:color w:val="000000" w:themeColor="text1"/>
                <w:sz w:val="22"/>
                <w:szCs w:val="22"/>
                <w:lang w:val="ru-RU"/>
              </w:rPr>
              <w:t xml:space="preserve"> (п.40.8.3.)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bookmarkStart w:id="3" w:name="_Hlk51768172"/>
            <w:bookmarkEnd w:id="2"/>
            <w:r w:rsidRPr="004B4FFB">
              <w:rPr>
                <w:sz w:val="22"/>
                <w:szCs w:val="22"/>
                <w:lang w:val="ru-RU"/>
              </w:rPr>
              <w:t xml:space="preserve">Определено, что после проведения процедуры портабилити Участник клиринга </w:t>
            </w:r>
            <w:r w:rsidRPr="001A3DC4">
              <w:rPr>
                <w:sz w:val="22"/>
                <w:szCs w:val="22"/>
                <w:lang w:val="ru-RU"/>
              </w:rPr>
              <w:t xml:space="preserve">– реципиент </w:t>
            </w:r>
            <w:r w:rsidRPr="001A3DC4">
              <w:rPr>
                <w:color w:val="000000" w:themeColor="text1"/>
                <w:sz w:val="22"/>
                <w:szCs w:val="22"/>
              </w:rPr>
              <w:t xml:space="preserve">вправе 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предоставить информацию о кратком</w:t>
            </w:r>
            <w:r w:rsidRPr="001A3DC4">
              <w:rPr>
                <w:color w:val="000000" w:themeColor="text1"/>
                <w:sz w:val="22"/>
                <w:szCs w:val="22"/>
              </w:rPr>
              <w:t xml:space="preserve"> код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е</w:t>
            </w:r>
            <w:r w:rsidRPr="001A3DC4">
              <w:rPr>
                <w:color w:val="000000" w:themeColor="text1"/>
                <w:sz w:val="22"/>
                <w:szCs w:val="22"/>
              </w:rPr>
              <w:t xml:space="preserve"> клиента 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в</w:t>
            </w:r>
            <w:r w:rsidRPr="001A3DC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с</w:t>
            </w:r>
            <w:r w:rsidRPr="001A3DC4">
              <w:rPr>
                <w:color w:val="000000" w:themeColor="text1"/>
                <w:sz w:val="22"/>
                <w:szCs w:val="22"/>
              </w:rPr>
              <w:t>делк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ах</w:t>
            </w:r>
            <w:r w:rsidR="001A3DC4">
              <w:rPr>
                <w:color w:val="000000" w:themeColor="text1"/>
                <w:sz w:val="22"/>
                <w:szCs w:val="22"/>
                <w:lang w:val="ru-RU"/>
              </w:rPr>
              <w:t xml:space="preserve"> (п.58.22)</w:t>
            </w:r>
            <w:r w:rsidRPr="001A3DC4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bookmarkEnd w:id="3"/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Установлены случаи, при которых процедура Перевода обязательств и Обеспечения не проводится.</w:t>
            </w:r>
          </w:p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Участнику клиринга – реципиенту предоставлено право</w:t>
            </w:r>
            <w:r w:rsidR="006F413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B4FFB">
              <w:rPr>
                <w:color w:val="000000" w:themeColor="text1"/>
                <w:sz w:val="22"/>
                <w:szCs w:val="22"/>
              </w:rPr>
              <w:t>предоставить информацию о кратком коде клиента в сделках, обязательства по которым были переведены такому Участнику клиринга - реципиенту.</w:t>
            </w:r>
          </w:p>
        </w:tc>
      </w:tr>
      <w:tr w:rsidR="00922776" w:rsidRPr="004B4FFB" w:rsidTr="00AC564F">
        <w:trPr>
          <w:trHeight w:val="841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sz w:val="22"/>
                <w:szCs w:val="22"/>
                <w:lang w:eastAsia="en-US"/>
              </w:rPr>
            </w:pPr>
            <w:r w:rsidRPr="004B4FFB">
              <w:rPr>
                <w:b/>
                <w:sz w:val="22"/>
                <w:szCs w:val="22"/>
              </w:rPr>
              <w:t>Изменения, связанные с развитием сервиса «Единый счет НКЦ и НРД» (в части депо счетов)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Пункты 32.2, 32.12, 32.13, 55.9 общей части Правил клиринга.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</w:t>
            </w:r>
            <w:r w:rsidRPr="004B4FFB">
              <w:rPr>
                <w:sz w:val="22"/>
                <w:szCs w:val="22"/>
              </w:rPr>
              <w:t xml:space="preserve">орядок обработки </w:t>
            </w:r>
            <w:r w:rsidRPr="004B4FFB">
              <w:rPr>
                <w:sz w:val="22"/>
                <w:szCs w:val="22"/>
                <w:lang w:val="ru-RU"/>
              </w:rPr>
              <w:t xml:space="preserve">получаемых НКЦ от НРД </w:t>
            </w:r>
            <w:r w:rsidRPr="004B4FFB">
              <w:rPr>
                <w:sz w:val="22"/>
                <w:szCs w:val="22"/>
              </w:rPr>
              <w:t>запросов согласия Клирингового центра на списание ценных бумаг с Разделов</w:t>
            </w:r>
            <w:r w:rsidRPr="004B4FFB">
              <w:rPr>
                <w:sz w:val="22"/>
                <w:szCs w:val="22"/>
                <w:lang w:val="ru-RU"/>
              </w:rPr>
              <w:t xml:space="preserve"> изменен таким образом, чтобы </w:t>
            </w:r>
            <w:r w:rsidRPr="004B4FFB">
              <w:t xml:space="preserve">НКЦ не </w:t>
            </w:r>
            <w:r w:rsidRPr="004B4FFB">
              <w:rPr>
                <w:sz w:val="22"/>
                <w:szCs w:val="22"/>
              </w:rPr>
              <w:t>давал согласие на списание ценных бумаг, которые необходимы для исполнения Сделок Т+ с наступившей Датой исполнения.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 xml:space="preserve">У Участников клиринга появляется возможность использовать сервисы по подбору ценных бумаг в НРД по торговым счетам депо, клиринг с использованием которых </w:t>
            </w:r>
            <w:r w:rsidRPr="004B4FFB">
              <w:rPr>
                <w:color w:val="000000" w:themeColor="text1"/>
                <w:sz w:val="22"/>
                <w:szCs w:val="22"/>
              </w:rPr>
              <w:lastRenderedPageBreak/>
              <w:t>осуществляет НКЦ, без риска списания с этих торговых счетов ценных бумаг, необходимых для исполнения обязательств по сделкам с наступившей датой исполнения и, как следствие, без риска неисполнения обязательств перед НКЦ.</w:t>
            </w:r>
          </w:p>
        </w:tc>
      </w:tr>
      <w:tr w:rsidR="00922776" w:rsidRPr="004B4FFB" w:rsidTr="00AC564F">
        <w:trPr>
          <w:trHeight w:val="1966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b/>
                <w:sz w:val="22"/>
                <w:szCs w:val="22"/>
              </w:rPr>
            </w:pPr>
            <w:r w:rsidRPr="004B4FFB">
              <w:rPr>
                <w:b/>
                <w:sz w:val="22"/>
                <w:szCs w:val="22"/>
              </w:rPr>
              <w:lastRenderedPageBreak/>
              <w:t>Определение порядка изменения даты исполнения обязательств по сделкам с ЦК в случае принятия Правительством РФ постановления о переносе нерабочих (праздничных) и выходных дней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Пункт 40.5 общей части Правил клиринга.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Пункт 27.14 Правил клиринга на фондовом рынке и рынке депозитов.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 xml:space="preserve">Пункт 16.2 </w:t>
            </w:r>
            <w:r w:rsidRPr="004B4FFB">
              <w:rPr>
                <w:color w:val="000000"/>
                <w:sz w:val="22"/>
                <w:szCs w:val="22"/>
              </w:rPr>
              <w:t>Правил клиринга на валютном рынке и рынке драгоценных металлов</w:t>
            </w:r>
            <w:r w:rsidRPr="004B4FF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действующей редакции правил клиринга порядок изменения даты исполнения обязательств по сделкам с ЦК определен для валютного рынка, но не определен для фондового рынка.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новой редакции правил клиринга определен порядок изменения даты исполнения обязательств по сделкам с ЦК, а также иных условий сделок с ЦК на фондовом рынке, порядок изменения даты исполнения обязательств по сделкам с ЦК на валютном рынке унифицирован с порядком, реализуемым на фондовом рынке.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 xml:space="preserve">У Участников клиринга появляется информация, как изменятся условия сделок с ЦК в случае принятия </w:t>
            </w:r>
            <w:r w:rsidRPr="004B4FFB">
              <w:rPr>
                <w:sz w:val="22"/>
                <w:szCs w:val="22"/>
              </w:rPr>
              <w:t>Правительством РФ постановления о переносе нерабочих (праздничных) и выходных дней</w:t>
            </w:r>
            <w:r w:rsidRPr="004B4FF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22776" w:rsidRPr="004B4FFB" w:rsidTr="00AC564F">
        <w:trPr>
          <w:trHeight w:val="1130"/>
        </w:trPr>
        <w:tc>
          <w:tcPr>
            <w:tcW w:w="2547" w:type="dxa"/>
            <w:shd w:val="clear" w:color="auto" w:fill="FBE4D5" w:themeFill="accent2" w:themeFillTint="33"/>
          </w:tcPr>
          <w:p w:rsidR="00922776" w:rsidRPr="00AC564F" w:rsidRDefault="00922776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B4FFB">
              <w:rPr>
                <w:b/>
                <w:sz w:val="22"/>
                <w:szCs w:val="22"/>
              </w:rPr>
              <w:t xml:space="preserve">Изменение порядка исполнения </w:t>
            </w:r>
            <w:r w:rsidRPr="004B4FFB">
              <w:rPr>
                <w:b/>
                <w:color w:val="000000" w:themeColor="text1"/>
              </w:rPr>
              <w:t>Постоянного поручения на возврат обеспечения в размере нетто-требования</w:t>
            </w:r>
          </w:p>
          <w:p w:rsidR="00AC564F" w:rsidRPr="00562E36" w:rsidRDefault="00AC564F" w:rsidP="00AC564F">
            <w:pPr>
              <w:pStyle w:val="a3"/>
              <w:spacing w:before="120"/>
              <w:ind w:left="306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62E36">
              <w:rPr>
                <w:b/>
                <w:color w:val="FF0000"/>
                <w:sz w:val="22"/>
                <w:szCs w:val="22"/>
              </w:rPr>
              <w:t>О технической готовности будет сообщено дополнительно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</w:rPr>
              <w:t>Пп. 32.7, 32.7.3 – 32.7.6, 32.11</w:t>
            </w:r>
            <w:r w:rsidRPr="004B4FFB">
              <w:rPr>
                <w:sz w:val="22"/>
                <w:szCs w:val="22"/>
                <w:lang w:val="ru-RU"/>
              </w:rPr>
              <w:t xml:space="preserve"> общей части Правил клиринга.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настоящее время Постоянное поручение на возврат обеспечения в размере нетто-требования на фондовом рынке исполняется в размере нетто-требования, которое рассчитывается с учетом только Сделок Т+, и не учитывает Сделки Т+ и сделки без ЦК, исполненные путем подачи отчетов на исполнение. В отдельных случаях это приводит к тому, что сначала на основании такого поручения Участинку клиринга возвращаются денежные средств, после чего у Участника клиринга может стать недостаточно денежных средств для исполнения Сделок Т+.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Порядок исполнения поручения изменен таким образом, чтобы учитывать все обязательства и требования Участника клиринга с наступившей Датой исполнения, на фондовом и валютном рынках.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sz w:val="22"/>
                <w:szCs w:val="22"/>
              </w:rPr>
              <w:t xml:space="preserve">Исключается возникновение у Участника клиринга недостаточности денежных средств для исполнения </w:t>
            </w:r>
            <w:r w:rsidRPr="004B4FFB">
              <w:rPr>
                <w:color w:val="000000"/>
                <w:sz w:val="22"/>
                <w:szCs w:val="22"/>
              </w:rPr>
              <w:t>Постоянного поручения на возврат обеспечения в размере нетто-требования.</w:t>
            </w:r>
          </w:p>
        </w:tc>
      </w:tr>
      <w:tr w:rsidR="00922776" w:rsidRPr="004B4FFB" w:rsidTr="00AC564F">
        <w:trPr>
          <w:trHeight w:val="1129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b/>
                <w:sz w:val="22"/>
                <w:szCs w:val="22"/>
              </w:rPr>
            </w:pPr>
            <w:r w:rsidRPr="004B4FFB">
              <w:rPr>
                <w:b/>
                <w:sz w:val="22"/>
                <w:szCs w:val="22"/>
              </w:rPr>
              <w:lastRenderedPageBreak/>
              <w:t>Уточнение условий, необходимых для возврата Обеспечения, отменена заключения сделок РЕПО переноса в случае недостаточности Единого лимита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</w:rPr>
              <w:t>Пп.</w:t>
            </w:r>
            <w:r w:rsidRPr="004B4FFB">
              <w:rPr>
                <w:sz w:val="22"/>
                <w:szCs w:val="22"/>
                <w:lang w:val="ru-RU"/>
              </w:rPr>
              <w:t xml:space="preserve"> </w:t>
            </w:r>
            <w:r w:rsidRPr="004B4FFB">
              <w:rPr>
                <w:sz w:val="22"/>
                <w:szCs w:val="22"/>
              </w:rPr>
              <w:t>32.11, 32.12</w:t>
            </w:r>
            <w:r w:rsidRPr="004B4FFB">
              <w:rPr>
                <w:sz w:val="22"/>
                <w:szCs w:val="22"/>
                <w:lang w:val="ru-RU"/>
              </w:rPr>
              <w:t xml:space="preserve"> 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 xml:space="preserve">, </w:t>
            </w:r>
            <w:r w:rsidRPr="004B4FFB">
              <w:rPr>
                <w:sz w:val="22"/>
                <w:szCs w:val="22"/>
                <w:lang w:val="ru-RU"/>
              </w:rPr>
              <w:t>пп.</w:t>
            </w:r>
            <w:r w:rsidRPr="004B4FFB">
              <w:rPr>
                <w:sz w:val="22"/>
                <w:szCs w:val="22"/>
              </w:rPr>
              <w:t xml:space="preserve">44.1.5 </w:t>
            </w:r>
            <w:r w:rsidRPr="004B4FFB">
              <w:rPr>
                <w:sz w:val="22"/>
                <w:szCs w:val="22"/>
                <w:lang w:val="ru-RU"/>
              </w:rPr>
              <w:t xml:space="preserve">общей части 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 xml:space="preserve"> исключен, </w:t>
            </w:r>
            <w:r w:rsidRPr="004B4FFB">
              <w:rPr>
                <w:sz w:val="22"/>
                <w:szCs w:val="22"/>
                <w:lang w:val="ru-RU"/>
              </w:rPr>
              <w:t>п.</w:t>
            </w:r>
            <w:r w:rsidRPr="004B4FFB">
              <w:rPr>
                <w:sz w:val="22"/>
                <w:szCs w:val="22"/>
              </w:rPr>
              <w:t>44.1.5</w:t>
            </w:r>
            <w:r w:rsidRPr="004B4FFB">
              <w:rPr>
                <w:sz w:val="22"/>
                <w:szCs w:val="22"/>
                <w:lang w:val="ru-RU"/>
              </w:rPr>
              <w:t xml:space="preserve"> 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 xml:space="preserve">, </w:t>
            </w:r>
            <w:r w:rsidRPr="004B4FFB">
              <w:rPr>
                <w:sz w:val="22"/>
                <w:szCs w:val="22"/>
                <w:lang w:val="ru-RU"/>
              </w:rPr>
              <w:t xml:space="preserve">пп. </w:t>
            </w:r>
            <w:r w:rsidRPr="004B4FFB">
              <w:rPr>
                <w:sz w:val="22"/>
                <w:szCs w:val="22"/>
              </w:rPr>
              <w:t xml:space="preserve">45.4, 47.3.2, 47.4.5, 47.6.2 </w:t>
            </w:r>
            <w:r w:rsidRPr="004B4FFB">
              <w:rPr>
                <w:sz w:val="22"/>
                <w:szCs w:val="22"/>
                <w:lang w:val="ru-RU"/>
              </w:rPr>
              <w:t xml:space="preserve">общей части 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 xml:space="preserve"> исключен</w:t>
            </w:r>
            <w:r w:rsidRPr="004B4FFB">
              <w:rPr>
                <w:sz w:val="22"/>
                <w:szCs w:val="22"/>
                <w:lang w:val="ru-RU"/>
              </w:rPr>
              <w:t>ы</w:t>
            </w:r>
            <w:r w:rsidRPr="004B4FFB">
              <w:rPr>
                <w:sz w:val="22"/>
                <w:szCs w:val="22"/>
              </w:rPr>
              <w:t xml:space="preserve">, </w:t>
            </w:r>
            <w:r w:rsidRPr="004B4FFB">
              <w:rPr>
                <w:sz w:val="22"/>
                <w:szCs w:val="22"/>
                <w:lang w:val="ru-RU"/>
              </w:rPr>
              <w:t>п.</w:t>
            </w:r>
            <w:r w:rsidRPr="004B4FFB">
              <w:rPr>
                <w:sz w:val="22"/>
                <w:szCs w:val="22"/>
              </w:rPr>
              <w:t xml:space="preserve">47.8 </w:t>
            </w:r>
            <w:r w:rsidRPr="004B4FFB">
              <w:rPr>
                <w:sz w:val="22"/>
                <w:szCs w:val="22"/>
                <w:lang w:val="ru-RU"/>
              </w:rPr>
              <w:t>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>, п</w:t>
            </w:r>
            <w:r w:rsidRPr="004B4FFB">
              <w:rPr>
                <w:sz w:val="22"/>
                <w:szCs w:val="22"/>
                <w:lang w:val="ru-RU"/>
              </w:rPr>
              <w:t>п</w:t>
            </w:r>
            <w:r w:rsidRPr="004B4FFB">
              <w:rPr>
                <w:sz w:val="22"/>
                <w:szCs w:val="22"/>
              </w:rPr>
              <w:t>.3.1, 5.1, 5.6, 5.7, 6.3 приложения 6 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Изменены условия, необходимые для возврата Обеспечения: возврат не осуществляется, если Единый лимит отрицательный или станет отрицательным в результате возврата Обеспечения.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color w:val="000000" w:themeColor="text1"/>
                <w:sz w:val="22"/>
                <w:szCs w:val="22"/>
                <w:lang w:val="ru-RU"/>
              </w:rPr>
              <w:t>Отменено заключение сделок РЕПО переноса в</w:t>
            </w:r>
            <w:r w:rsidRPr="004B4FFB">
              <w:rPr>
                <w:color w:val="000000" w:themeColor="text1"/>
                <w:sz w:val="22"/>
                <w:szCs w:val="22"/>
              </w:rPr>
              <w:t xml:space="preserve"> случае если у Участника клиринга имеется Итоговое нетто-требование по ценным бумагам, не принимаемым в качестве обеспечения исполнения обязательств по Сделкам с частичным обеспечением, и в результате исполнения (прекращения) указанного Итогового нетто-требования по ценным бумагам Единый лимит станет отрицательным.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Порядок и условия заключения сделок урегулирования становятся более прозрачными для Участников клиринга.</w:t>
            </w:r>
          </w:p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Участнику клиринга гарантируется получение по сделке ценных бумаг, в т.ч. не принимаемых в качестве обеспечения исполнения обязательств, при наличии у такого Участника клиринга необходимых денежных средств.</w:t>
            </w:r>
          </w:p>
        </w:tc>
      </w:tr>
      <w:tr w:rsidR="00922776" w:rsidRPr="004B4FFB" w:rsidTr="00AC564F">
        <w:trPr>
          <w:trHeight w:val="280"/>
        </w:trPr>
        <w:tc>
          <w:tcPr>
            <w:tcW w:w="2547" w:type="dxa"/>
            <w:shd w:val="clear" w:color="auto" w:fill="FBE4D5" w:themeFill="accent2" w:themeFillTint="33"/>
          </w:tcPr>
          <w:p w:rsidR="00922776" w:rsidRDefault="00202BDE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Возможность п</w:t>
            </w:r>
            <w:r w:rsidR="00922776" w:rsidRPr="004B4FFB">
              <w:rPr>
                <w:b/>
                <w:sz w:val="22"/>
                <w:szCs w:val="22"/>
              </w:rPr>
              <w:t>еревод</w:t>
            </w:r>
            <w:r>
              <w:rPr>
                <w:b/>
                <w:sz w:val="22"/>
                <w:szCs w:val="22"/>
              </w:rPr>
              <w:t>а</w:t>
            </w:r>
            <w:r w:rsidR="00922776" w:rsidRPr="004B4FFB">
              <w:rPr>
                <w:b/>
                <w:sz w:val="22"/>
                <w:szCs w:val="22"/>
              </w:rPr>
              <w:t xml:space="preserve"> всех Расчетных кодов рынка СПФИ в Расчетные коды Единого пула</w:t>
            </w:r>
          </w:p>
          <w:p w:rsidR="00202BDE" w:rsidRPr="004B4FFB" w:rsidRDefault="00202BDE" w:rsidP="00202BDE">
            <w:pPr>
              <w:pStyle w:val="a3"/>
              <w:spacing w:before="120"/>
              <w:ind w:left="306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</w:rPr>
              <w:t>П</w:t>
            </w:r>
            <w:r w:rsidRPr="004B4FFB">
              <w:rPr>
                <w:sz w:val="22"/>
                <w:szCs w:val="22"/>
                <w:lang w:val="ru-RU"/>
              </w:rPr>
              <w:t xml:space="preserve">ункты </w:t>
            </w:r>
            <w:r w:rsidRPr="004B4FFB">
              <w:rPr>
                <w:sz w:val="22"/>
                <w:szCs w:val="22"/>
              </w:rPr>
              <w:t>2.4</w:t>
            </w:r>
            <w:r w:rsidRPr="004B4FFB">
              <w:rPr>
                <w:sz w:val="22"/>
                <w:szCs w:val="22"/>
                <w:lang w:val="ru-RU"/>
              </w:rPr>
              <w:t>, 2.5, подпукнт 21.2.8</w:t>
            </w:r>
            <w:r w:rsidRPr="004B4F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Правил клиринга на рынке Стандартизированных </w:t>
            </w:r>
            <w:r w:rsidRPr="004B4FFB">
              <w:rPr>
                <w:sz w:val="22"/>
                <w:szCs w:val="22"/>
              </w:rPr>
              <w:t>ПФИ, п</w:t>
            </w:r>
            <w:r w:rsidRPr="004B4FFB">
              <w:rPr>
                <w:sz w:val="22"/>
                <w:szCs w:val="22"/>
                <w:lang w:val="ru-RU"/>
              </w:rPr>
              <w:t xml:space="preserve">ункты 3.12, </w:t>
            </w:r>
            <w:r w:rsidRPr="004B4FFB">
              <w:rPr>
                <w:sz w:val="22"/>
                <w:szCs w:val="22"/>
              </w:rPr>
              <w:t>20.1, 20.2, 20.2.1</w:t>
            </w:r>
            <w:r w:rsidRPr="004B4FFB">
              <w:rPr>
                <w:sz w:val="22"/>
                <w:szCs w:val="22"/>
                <w:lang w:val="ru-RU"/>
              </w:rPr>
              <w:t>, 25.1.1, 51.3-51.4, 51.12-51.14, 51.19, 51.21</w:t>
            </w:r>
            <w:r w:rsidRPr="004B4FFB">
              <w:rPr>
                <w:sz w:val="22"/>
                <w:szCs w:val="22"/>
              </w:rPr>
              <w:t xml:space="preserve"> 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рамках задачи по автоматизации дефолт-менеджмента на рынке СПФИ с даты, установленной</w:t>
            </w:r>
            <w:r w:rsidR="00202BDE">
              <w:rPr>
                <w:color w:val="000000"/>
                <w:sz w:val="22"/>
                <w:szCs w:val="22"/>
                <w:lang w:val="ru-RU"/>
              </w:rPr>
              <w:t xml:space="preserve"> отдельным</w:t>
            </w:r>
            <w:r w:rsidRPr="004B4FFB">
              <w:rPr>
                <w:color w:val="000000"/>
                <w:sz w:val="22"/>
                <w:szCs w:val="22"/>
                <w:lang w:val="ru-RU"/>
              </w:rPr>
              <w:t xml:space="preserve"> решением НКЦ, всем Расчетным кодам, открытым для рынка СПФИ, будет присвоен признак «Единый пул». </w:t>
            </w:r>
            <w:r w:rsidR="00202BDE">
              <w:rPr>
                <w:b/>
                <w:sz w:val="22"/>
                <w:szCs w:val="22"/>
              </w:rPr>
              <w:t>(</w:t>
            </w:r>
            <w:r w:rsidR="00202BDE">
              <w:rPr>
                <w:b/>
                <w:sz w:val="22"/>
                <w:szCs w:val="22"/>
                <w:lang w:val="ru-RU"/>
              </w:rPr>
              <w:t>О точной дате будет сообщено дополнительно, планируемая дата – 01.12.20</w:t>
            </w:r>
            <w:r w:rsidR="00202BDE">
              <w:rPr>
                <w:b/>
                <w:sz w:val="22"/>
                <w:szCs w:val="22"/>
              </w:rPr>
              <w:t>)</w:t>
            </w:r>
          </w:p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Правила клиринга дополнены положениями, в соответствии с которыми, если Расчетный код является Расчетным кодом Единого пула и уровни защиты центрального контрагента используются в случае возникновения у Участника клиринга Маржинального требования, то Обеспечение, Обеспечение под стресс и взнос в Гарантийный фонд Недобросовестного участника клиринга используется, в первую очередь, на том рынке, на котором возникло Маржинальное требование, а выделенный капитал центрального контрагента и средства Гарантийных фондов из взносов Добросовестных участников клиринга используются на том биржевом рынке, на котором возникло Маржинальное требование.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922776" w:rsidRPr="004B4FFB" w:rsidTr="00AC564F">
        <w:trPr>
          <w:trHeight w:val="280"/>
        </w:trPr>
        <w:tc>
          <w:tcPr>
            <w:tcW w:w="2547" w:type="dxa"/>
            <w:shd w:val="clear" w:color="auto" w:fill="FBE4D5" w:themeFill="accent2" w:themeFillTint="33"/>
          </w:tcPr>
          <w:p w:rsidR="00202BDE" w:rsidRDefault="00922776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b/>
                <w:sz w:val="22"/>
                <w:szCs w:val="22"/>
              </w:rPr>
            </w:pPr>
            <w:r w:rsidRPr="004B4FFB">
              <w:rPr>
                <w:b/>
                <w:sz w:val="22"/>
                <w:szCs w:val="22"/>
              </w:rPr>
              <w:t xml:space="preserve">Предоставление Участникам </w:t>
            </w:r>
            <w:r w:rsidRPr="004B4FFB">
              <w:rPr>
                <w:b/>
                <w:sz w:val="22"/>
                <w:szCs w:val="22"/>
              </w:rPr>
              <w:lastRenderedPageBreak/>
              <w:t>клиринга, не допущенным к клирингу на фондовом рынке, доступа к Единому пулу обеспечения</w:t>
            </w:r>
          </w:p>
          <w:p w:rsidR="00562E36" w:rsidRDefault="00562E36" w:rsidP="00202BDE">
            <w:pPr>
              <w:rPr>
                <w:b/>
                <w:color w:val="FF0000"/>
                <w:sz w:val="22"/>
                <w:szCs w:val="22"/>
              </w:rPr>
            </w:pPr>
          </w:p>
          <w:p w:rsidR="00922776" w:rsidRPr="00562E36" w:rsidRDefault="00202BDE" w:rsidP="00202BDE">
            <w:pPr>
              <w:rPr>
                <w:sz w:val="22"/>
                <w:szCs w:val="22"/>
              </w:rPr>
            </w:pPr>
            <w:r w:rsidRPr="00562E36">
              <w:rPr>
                <w:b/>
                <w:color w:val="FF0000"/>
                <w:sz w:val="22"/>
                <w:szCs w:val="22"/>
              </w:rPr>
              <w:t xml:space="preserve">О </w:t>
            </w:r>
            <w:r w:rsidR="00562E36" w:rsidRPr="00562E36">
              <w:rPr>
                <w:b/>
                <w:color w:val="FF0000"/>
                <w:sz w:val="22"/>
                <w:szCs w:val="22"/>
              </w:rPr>
              <w:t xml:space="preserve">полной </w:t>
            </w:r>
            <w:r w:rsidRPr="00562E36">
              <w:rPr>
                <w:b/>
                <w:color w:val="FF0000"/>
                <w:sz w:val="22"/>
                <w:szCs w:val="22"/>
              </w:rPr>
              <w:t>технической готовности</w:t>
            </w:r>
            <w:r w:rsidR="00562E36" w:rsidRPr="00562E36">
              <w:rPr>
                <w:b/>
                <w:color w:val="FF0000"/>
                <w:sz w:val="22"/>
                <w:szCs w:val="22"/>
              </w:rPr>
              <w:t xml:space="preserve"> сервиса, включая НРД, </w:t>
            </w:r>
            <w:r w:rsidRPr="00562E36">
              <w:rPr>
                <w:b/>
                <w:color w:val="FF0000"/>
                <w:sz w:val="22"/>
                <w:szCs w:val="22"/>
              </w:rPr>
              <w:t>будет сообщено дополнительно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</w:rPr>
              <w:lastRenderedPageBreak/>
              <w:t>П.15.11</w:t>
            </w:r>
            <w:r w:rsidRPr="004B4FFB">
              <w:rPr>
                <w:sz w:val="22"/>
                <w:szCs w:val="22"/>
                <w:lang w:val="ru-RU"/>
              </w:rPr>
              <w:t xml:space="preserve"> 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 xml:space="preserve">, п.16.1.1 </w:t>
            </w:r>
            <w:r w:rsidRPr="004B4FFB">
              <w:rPr>
                <w:sz w:val="22"/>
                <w:szCs w:val="22"/>
                <w:lang w:val="ru-RU"/>
              </w:rPr>
              <w:lastRenderedPageBreak/>
              <w:t xml:space="preserve">общей части </w:t>
            </w:r>
            <w:r>
              <w:rPr>
                <w:sz w:val="22"/>
                <w:szCs w:val="22"/>
                <w:lang w:val="ru-RU"/>
              </w:rPr>
              <w:t xml:space="preserve">Правил клиринга </w:t>
            </w:r>
            <w:r w:rsidRPr="004B4FFB">
              <w:rPr>
                <w:sz w:val="22"/>
                <w:szCs w:val="22"/>
              </w:rPr>
              <w:t xml:space="preserve">исключен, пп.16.2-16.3, 16.6, 20.8 </w:t>
            </w:r>
            <w:r w:rsidRPr="004B4FFB">
              <w:rPr>
                <w:sz w:val="22"/>
                <w:szCs w:val="22"/>
                <w:lang w:val="ru-RU"/>
              </w:rPr>
              <w:t>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</w:rPr>
              <w:t xml:space="preserve">, пп.11.2, 11.2.1, 11.2.2, 11.3, 11.3.1 </w:t>
            </w:r>
            <w:r w:rsidRPr="004B4FFB">
              <w:rPr>
                <w:sz w:val="22"/>
                <w:szCs w:val="22"/>
                <w:lang w:val="ru-RU"/>
              </w:rPr>
              <w:t xml:space="preserve"> Правил клиринга на фондовом рынке и рынке депозитов</w:t>
            </w:r>
            <w:r w:rsidRPr="004B4FFB">
              <w:rPr>
                <w:sz w:val="22"/>
                <w:szCs w:val="22"/>
              </w:rPr>
              <w:t xml:space="preserve"> исключены, п.11.3</w:t>
            </w:r>
            <w:r w:rsidRPr="004B4FFB">
              <w:rPr>
                <w:sz w:val="22"/>
                <w:szCs w:val="22"/>
                <w:lang w:val="ru-RU"/>
              </w:rPr>
              <w:t xml:space="preserve"> Правил клиринга на фондовом рынке и рынке депозитов</w:t>
            </w:r>
            <w:r w:rsidRPr="004B4FFB">
              <w:rPr>
                <w:sz w:val="22"/>
                <w:szCs w:val="22"/>
              </w:rPr>
              <w:t xml:space="preserve"> 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В общую часть Правил клиринга из фондовой части перенесен порядок отрытия Торгово-клиринговых счетов, в состав которых не входит </w:t>
            </w:r>
            <w:r w:rsidR="00202BDE">
              <w:rPr>
                <w:color w:val="000000"/>
                <w:sz w:val="22"/>
                <w:szCs w:val="22"/>
                <w:lang w:val="ru-RU"/>
              </w:rPr>
              <w:lastRenderedPageBreak/>
              <w:t>торговый р</w:t>
            </w:r>
            <w:r w:rsidRPr="004B4FFB">
              <w:rPr>
                <w:color w:val="000000"/>
                <w:sz w:val="22"/>
                <w:szCs w:val="22"/>
                <w:lang w:val="ru-RU"/>
              </w:rPr>
              <w:t>аздел</w:t>
            </w:r>
            <w:r w:rsidR="00202BDE">
              <w:rPr>
                <w:color w:val="000000"/>
                <w:sz w:val="22"/>
                <w:szCs w:val="22"/>
                <w:lang w:val="ru-RU"/>
              </w:rPr>
              <w:t xml:space="preserve"> счета депо</w:t>
            </w:r>
            <w:r w:rsidRPr="004B4FFB">
              <w:rPr>
                <w:color w:val="000000"/>
                <w:sz w:val="22"/>
                <w:szCs w:val="22"/>
                <w:lang w:val="ru-RU"/>
              </w:rPr>
              <w:t>, и которые могут быть использованы для заключения сделок за счет Единого пула обеспечения Участниками клиринга, не допущенными к клирингу на фондовом рынке.</w:t>
            </w:r>
          </w:p>
          <w:p w:rsidR="00202BDE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Определено, что объединение рынков в Единый пул обеспечения выполняется при условии совпадения категории Участника клиринга на объединяемых рынках.</w:t>
            </w:r>
          </w:p>
          <w:p w:rsidR="00922776" w:rsidRPr="00562E36" w:rsidRDefault="00562E36" w:rsidP="00202BDE">
            <w:pPr>
              <w:rPr>
                <w:sz w:val="22"/>
                <w:szCs w:val="22"/>
                <w:lang w:eastAsia="x-none"/>
              </w:rPr>
            </w:pPr>
            <w:r w:rsidRPr="00562E36">
              <w:rPr>
                <w:b/>
                <w:sz w:val="22"/>
                <w:szCs w:val="22"/>
                <w:lang w:eastAsia="x-none"/>
              </w:rPr>
              <w:t>Вниманию участников рынка депозитов</w:t>
            </w:r>
            <w:r>
              <w:rPr>
                <w:b/>
                <w:sz w:val="22"/>
                <w:szCs w:val="22"/>
                <w:lang w:eastAsia="x-none"/>
              </w:rPr>
              <w:t>:</w:t>
            </w:r>
            <w:r>
              <w:rPr>
                <w:sz w:val="22"/>
                <w:szCs w:val="22"/>
                <w:lang w:eastAsia="x-none"/>
              </w:rPr>
              <w:t xml:space="preserve"> предусмотрена </w:t>
            </w:r>
            <w:r w:rsidRPr="00562E36">
              <w:rPr>
                <w:sz w:val="22"/>
                <w:szCs w:val="22"/>
                <w:lang w:eastAsia="x-none"/>
              </w:rPr>
              <w:t>возможность внесения ценных бумаг в Обеспечение, Обеспечение под стресс</w:t>
            </w:r>
            <w:r>
              <w:rPr>
                <w:sz w:val="22"/>
                <w:szCs w:val="22"/>
                <w:lang w:eastAsia="x-none"/>
              </w:rPr>
              <w:t xml:space="preserve"> и</w:t>
            </w:r>
            <w:r w:rsidRPr="00562E36">
              <w:rPr>
                <w:sz w:val="22"/>
                <w:szCs w:val="22"/>
                <w:lang w:eastAsia="x-none"/>
              </w:rPr>
              <w:t xml:space="preserve"> в Гарантийный фонд</w:t>
            </w:r>
            <w:r>
              <w:rPr>
                <w:sz w:val="22"/>
                <w:szCs w:val="22"/>
                <w:lang w:eastAsia="x-none"/>
              </w:rPr>
              <w:t xml:space="preserve"> (после технической готовности со стороны НРД). 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/>
                <w:sz w:val="22"/>
                <w:szCs w:val="22"/>
              </w:rPr>
              <w:lastRenderedPageBreak/>
              <w:t xml:space="preserve">У Участников клиринга, не допущенных к </w:t>
            </w:r>
            <w:r w:rsidRPr="004B4FFB">
              <w:rPr>
                <w:color w:val="000000"/>
                <w:sz w:val="22"/>
                <w:szCs w:val="22"/>
              </w:rPr>
              <w:lastRenderedPageBreak/>
              <w:t>клирингу на фондовом рынке, появляется возможность использовать Единый пул обеспечения.</w:t>
            </w:r>
          </w:p>
        </w:tc>
      </w:tr>
      <w:tr w:rsidR="00922776" w:rsidRPr="004B4FFB" w:rsidTr="00AC564F">
        <w:trPr>
          <w:trHeight w:val="280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E72FD9" w:rsidP="00922776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Определение порядка проверки возможности регистрации заявок с указанием Торгово-клиринговых счетов, в состав которых входит Раздел на эмиссионном счете или казначейском счете депо</w:t>
            </w:r>
          </w:p>
        </w:tc>
        <w:tc>
          <w:tcPr>
            <w:tcW w:w="2693" w:type="dxa"/>
          </w:tcPr>
          <w:p w:rsidR="00922776" w:rsidRPr="004B4FFB" w:rsidRDefault="00E72FD9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Пункт 19.2 Правил клиринга на фондовом рынке и рынке депозитов</w:t>
            </w:r>
            <w:r w:rsidR="0092277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E72FD9" w:rsidRDefault="00E72FD9" w:rsidP="00E72FD9">
            <w:pPr>
              <w:pStyle w:val="texttab1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Правилами клиринга установлено, что необходимым условием регистрации заявки, поданной </w:t>
            </w:r>
            <w:r>
              <w:rPr>
                <w:sz w:val="22"/>
                <w:szCs w:val="22"/>
                <w:lang w:val="x-none"/>
              </w:rPr>
              <w:t>с указанием Торгово-клирингов</w:t>
            </w:r>
            <w:r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  <w:lang w:val="x-none"/>
              </w:rPr>
              <w:t xml:space="preserve"> счет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x-none"/>
              </w:rPr>
              <w:t>, в состав котор</w:t>
            </w:r>
            <w:r>
              <w:rPr>
                <w:sz w:val="22"/>
                <w:szCs w:val="22"/>
              </w:rPr>
              <w:t xml:space="preserve">ого </w:t>
            </w:r>
            <w:r>
              <w:rPr>
                <w:sz w:val="22"/>
                <w:szCs w:val="22"/>
                <w:lang w:val="x-none"/>
              </w:rPr>
              <w:t>входит Раздел на эмиссионном счете или казначейском счете депо</w:t>
            </w:r>
            <w:r>
              <w:rPr>
                <w:sz w:val="22"/>
                <w:szCs w:val="22"/>
              </w:rPr>
              <w:t>, является:</w:t>
            </w:r>
          </w:p>
          <w:p w:rsidR="00E72FD9" w:rsidRDefault="00E72FD9" w:rsidP="00E72FD9">
            <w:pPr>
              <w:pStyle w:val="texttab1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владелец </w:t>
            </w:r>
            <w:r>
              <w:rPr>
                <w:color w:val="000000"/>
                <w:sz w:val="22"/>
                <w:szCs w:val="22"/>
              </w:rPr>
              <w:t>эмиссионного счета или казначейского счета депо</w:t>
            </w:r>
            <w:r>
              <w:rPr>
                <w:sz w:val="22"/>
                <w:szCs w:val="22"/>
              </w:rPr>
              <w:t xml:space="preserve"> (по информации о владельце</w:t>
            </w:r>
            <w:r>
              <w:rPr>
                <w:sz w:val="22"/>
                <w:szCs w:val="22"/>
                <w:lang w:val="x-none"/>
              </w:rPr>
              <w:t xml:space="preserve"> эмиссионно</w:t>
            </w:r>
            <w:r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  <w:lang w:val="x-none"/>
              </w:rPr>
              <w:t xml:space="preserve"> счет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x-none"/>
              </w:rPr>
              <w:t xml:space="preserve"> или казначейско</w:t>
            </w:r>
            <w:r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  <w:lang w:val="x-none"/>
              </w:rPr>
              <w:t xml:space="preserve"> счет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  <w:lang w:val="x-none"/>
              </w:rPr>
              <w:t>депо</w:t>
            </w:r>
            <w:r>
              <w:rPr>
                <w:sz w:val="22"/>
                <w:szCs w:val="22"/>
              </w:rPr>
              <w:t>, полученной от Расчетного депозитария)</w:t>
            </w:r>
            <w:bookmarkStart w:id="4" w:name="_GoBack"/>
            <w:bookmarkEnd w:id="4"/>
            <w:r>
              <w:rPr>
                <w:color w:val="000000"/>
                <w:sz w:val="22"/>
                <w:szCs w:val="22"/>
              </w:rPr>
              <w:t xml:space="preserve"> является эмитентом ценной бумаги,</w:t>
            </w:r>
            <w:r>
              <w:rPr>
                <w:sz w:val="22"/>
                <w:szCs w:val="22"/>
              </w:rPr>
              <w:t xml:space="preserve"> указанной в заявке, </w:t>
            </w:r>
          </w:p>
          <w:p w:rsidR="00E72FD9" w:rsidRDefault="00E72FD9" w:rsidP="00E72FD9">
            <w:pPr>
              <w:pStyle w:val="texttab1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</w:t>
            </w:r>
          </w:p>
          <w:p w:rsidR="00922776" w:rsidRPr="00E72FD9" w:rsidRDefault="00E72FD9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sz w:val="22"/>
                <w:szCs w:val="22"/>
                <w:lang w:val="ru-RU"/>
              </w:rPr>
              <w:t>У</w:t>
            </w:r>
            <w:r>
              <w:rPr>
                <w:sz w:val="22"/>
                <w:szCs w:val="22"/>
              </w:rPr>
              <w:t xml:space="preserve">частника клиринга получено </w:t>
            </w:r>
            <w:r>
              <w:rPr>
                <w:color w:val="000000"/>
                <w:sz w:val="22"/>
                <w:szCs w:val="22"/>
              </w:rPr>
              <w:t>уведомление о проведении выкупа</w:t>
            </w:r>
            <w:r w:rsidR="00845216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в котором </w:t>
            </w:r>
            <w:r>
              <w:rPr>
                <w:color w:val="000000"/>
                <w:sz w:val="22"/>
                <w:szCs w:val="22"/>
                <w:lang w:val="ru-RU"/>
              </w:rPr>
              <w:t>У</w:t>
            </w:r>
            <w:r>
              <w:rPr>
                <w:color w:val="000000"/>
                <w:sz w:val="22"/>
                <w:szCs w:val="22"/>
              </w:rPr>
              <w:t>частник клиринга указан как покупатель при осуществлении выкупа</w:t>
            </w:r>
            <w:r w:rsidR="00922776" w:rsidRPr="004B4FF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93" w:type="dxa"/>
          </w:tcPr>
          <w:p w:rsidR="00922776" w:rsidRPr="004B4FFB" w:rsidRDefault="00E72FD9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Освобождает Участников клиринга от необходимости подачи заявлений при размещении и выкупе ценных бумаг в случае, если Клиринговый центр может самостоятельно идентифицировать владельца раздела как эмитента ценной бумаги</w:t>
            </w:r>
            <w:r w:rsidR="00922776" w:rsidRPr="004B4FFB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22776" w:rsidRPr="004B4FFB" w:rsidTr="001E59CB">
        <w:trPr>
          <w:trHeight w:val="416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4B4FFB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Уточнение статуса Обеспечения в иностранной валюте на валютном рынке и рынке драгоценных металлов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Подпункт 3.5.3 общей части Правил клиринга.</w:t>
            </w:r>
          </w:p>
          <w:p w:rsidR="00922776" w:rsidRPr="00024DC9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 xml:space="preserve">Пункт 2.8 </w:t>
            </w:r>
            <w:r w:rsidRPr="004B4FFB">
              <w:rPr>
                <w:color w:val="000000"/>
                <w:sz w:val="22"/>
                <w:szCs w:val="22"/>
              </w:rPr>
              <w:t>Правил клиринга на валютном рынке и рынке драгоценных металлов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bCs/>
                <w:color w:val="000000"/>
                <w:sz w:val="22"/>
                <w:szCs w:val="22"/>
              </w:rPr>
              <w:tab/>
            </w:r>
            <w:r w:rsidRPr="004B4FFB">
              <w:rPr>
                <w:bCs/>
                <w:color w:val="000000"/>
                <w:sz w:val="22"/>
                <w:szCs w:val="22"/>
                <w:lang w:val="ru-RU"/>
              </w:rPr>
              <w:t xml:space="preserve">В целях унификации формулировок Правил клиринга, касающихся описания статуса Обеспечения в иностранной валюте на разных рынках, определение иного обеспечения перенесено из Правил клиринга на валютном рынке в общуй часть Правил клиринга, в Правила клиринга на валютном рынке включено положение, явно устанавливающее, что </w:t>
            </w:r>
            <w:r w:rsidRPr="004B4FFB">
              <w:rPr>
                <w:bCs/>
                <w:color w:val="000000"/>
                <w:sz w:val="22"/>
                <w:szCs w:val="22"/>
              </w:rPr>
              <w:t>Обеспечение Участника клиринга в иностранной валюте</w:t>
            </w:r>
            <w:r w:rsidRPr="004B4FFB">
              <w:rPr>
                <w:bCs/>
                <w:color w:val="000000"/>
                <w:sz w:val="22"/>
                <w:szCs w:val="22"/>
                <w:lang w:val="ru-RU"/>
              </w:rPr>
              <w:t xml:space="preserve">, учитываемое по Расчетным кодам, открытым для валютного рынка и рынка драгоценных металлов и не являющимся Расчетными кодами Единого пула, является иным обеспечением (указанное положение не меняет существующий </w:t>
            </w:r>
            <w:r w:rsidRPr="004B4FFB">
              <w:rPr>
                <w:bCs/>
                <w:color w:val="000000"/>
                <w:sz w:val="22"/>
                <w:szCs w:val="22"/>
                <w:lang w:val="ru-RU"/>
              </w:rPr>
              <w:lastRenderedPageBreak/>
              <w:t>статус Обеспечения в иностранной валюте на валютном рынке и рынке драгоценных металлов).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lastRenderedPageBreak/>
              <w:t>Не влияет на права и обязанности Участников клиринга.</w:t>
            </w:r>
          </w:p>
        </w:tc>
      </w:tr>
      <w:tr w:rsidR="00922776" w:rsidRPr="004B4FFB" w:rsidTr="00AC564F">
        <w:trPr>
          <w:trHeight w:val="1224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  <w:lang w:val="ru-RU"/>
              </w:rPr>
            </w:pPr>
            <w:r w:rsidRPr="004B4FFB">
              <w:rPr>
                <w:b/>
                <w:sz w:val="22"/>
                <w:szCs w:val="22"/>
                <w:lang w:val="ru-RU"/>
              </w:rPr>
              <w:t>Изменения, связанные с продлением торгов TOD отдельными валютами до 12:00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Приложение 6 к общей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bCs/>
                <w:color w:val="000000"/>
                <w:sz w:val="22"/>
                <w:szCs w:val="22"/>
                <w:lang w:val="ru-RU"/>
              </w:rPr>
              <w:t>Временной регламент изменен с учетом продления до 12:00 времени торгов инструментами</w:t>
            </w:r>
            <w:r w:rsidRPr="004B4FFB">
              <w:rPr>
                <w:sz w:val="22"/>
                <w:szCs w:val="22"/>
              </w:rPr>
              <w:t xml:space="preserve"> </w:t>
            </w:r>
            <w:r w:rsidRPr="004B4FFB">
              <w:rPr>
                <w:bCs/>
                <w:color w:val="000000"/>
                <w:sz w:val="22"/>
                <w:szCs w:val="22"/>
                <w:lang w:val="ru-RU"/>
              </w:rPr>
              <w:t>TOD по швейцарским франкам, юаням, турецким лирам, белорусским рублям, тенге.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922776" w:rsidRPr="004B4FFB" w:rsidTr="00AC564F">
        <w:trPr>
          <w:trHeight w:val="846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</w:rPr>
            </w:pPr>
            <w:r w:rsidRPr="004B4FFB">
              <w:rPr>
                <w:b/>
                <w:sz w:val="22"/>
                <w:szCs w:val="22"/>
                <w:lang w:val="ru-RU"/>
              </w:rPr>
              <w:t>Уточнение временного регламента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Приложение 6 к общей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tabs>
                <w:tab w:val="left" w:pos="306"/>
              </w:tabs>
              <w:spacing w:before="120"/>
              <w:rPr>
                <w:bCs/>
                <w:color w:val="000000"/>
                <w:sz w:val="22"/>
                <w:szCs w:val="22"/>
              </w:rPr>
            </w:pPr>
            <w:r w:rsidRPr="004B4FFB">
              <w:rPr>
                <w:bCs/>
                <w:color w:val="000000"/>
                <w:sz w:val="22"/>
                <w:szCs w:val="22"/>
              </w:rPr>
              <w:t>Установлено время передачи профилей – с 9:05 до 23:50 Расчётного дня.</w:t>
            </w:r>
          </w:p>
          <w:p w:rsidR="00922776" w:rsidRPr="004B4FFB" w:rsidRDefault="00922776" w:rsidP="007440AE">
            <w:pPr>
              <w:tabs>
                <w:tab w:val="left" w:pos="306"/>
              </w:tabs>
              <w:spacing w:before="120"/>
              <w:rPr>
                <w:bCs/>
                <w:color w:val="000000"/>
                <w:sz w:val="22"/>
                <w:szCs w:val="22"/>
              </w:rPr>
            </w:pPr>
            <w:r w:rsidRPr="004B4FFB">
              <w:rPr>
                <w:bCs/>
                <w:color w:val="000000"/>
                <w:sz w:val="22"/>
                <w:szCs w:val="22"/>
              </w:rPr>
              <w:t>Уточнено время исполнения Постоянных поручений на возврат обеспечения для внутренних платежей по российским рублям – 19:45.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клиринга, поскольку фиксирует в Правилах клиринга действующий временной регламент.</w:t>
            </w:r>
          </w:p>
        </w:tc>
      </w:tr>
      <w:tr w:rsidR="00922776" w:rsidRPr="004B4FFB" w:rsidTr="00AC564F">
        <w:trPr>
          <w:trHeight w:val="988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4B4FFB">
              <w:rPr>
                <w:b/>
                <w:sz w:val="22"/>
                <w:szCs w:val="22"/>
                <w:lang w:val="ru-RU"/>
              </w:rPr>
              <w:t>Уточнение порядка определения суммы, на которую заключается депозитный договор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</w:rPr>
              <w:t>П</w:t>
            </w:r>
            <w:r w:rsidRPr="004B4FFB">
              <w:rPr>
                <w:sz w:val="22"/>
                <w:szCs w:val="22"/>
                <w:lang w:val="ru-RU"/>
              </w:rPr>
              <w:t>п.</w:t>
            </w:r>
            <w:r w:rsidRPr="004B4FFB">
              <w:rPr>
                <w:sz w:val="22"/>
                <w:szCs w:val="22"/>
              </w:rPr>
              <w:t xml:space="preserve"> 34.6.2 </w:t>
            </w:r>
            <w:r w:rsidRPr="004B4FFB">
              <w:rPr>
                <w:sz w:val="22"/>
                <w:szCs w:val="22"/>
                <w:lang w:val="ru-RU"/>
              </w:rPr>
              <w:t>Правил клиринга на фондовом рынке и рынке депозитов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4B4FFB">
              <w:rPr>
                <w:sz w:val="22"/>
                <w:szCs w:val="22"/>
              </w:rPr>
              <w:t>Уточнен порядок определения суммы, на которую заключается депозитный договор в иностранной валюте: учтены округления, возникающие при расчете суммы.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922776" w:rsidRPr="004B4FFB" w:rsidTr="00AC564F">
        <w:trPr>
          <w:trHeight w:val="988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  <w:lang w:val="ru-RU"/>
              </w:rPr>
            </w:pPr>
            <w:r w:rsidRPr="004B4FFB">
              <w:rPr>
                <w:b/>
                <w:sz w:val="22"/>
                <w:szCs w:val="22"/>
                <w:lang w:val="ru-RU"/>
              </w:rPr>
              <w:t>Изменение порядка закрытия Расчетных кодов Участника клиринга, уточнение условий прекращения допуска к клиринговому обслуживанию на основании заявления Участника клиринга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</w:rPr>
            </w:pPr>
            <w:r w:rsidRPr="004B4FFB">
              <w:rPr>
                <w:sz w:val="22"/>
                <w:szCs w:val="22"/>
              </w:rPr>
              <w:t>Пп.</w:t>
            </w:r>
            <w:r w:rsidRPr="004B4FFB">
              <w:rPr>
                <w:sz w:val="22"/>
                <w:szCs w:val="22"/>
                <w:lang w:val="ru-RU"/>
              </w:rPr>
              <w:t xml:space="preserve">14.16, 14.19, </w:t>
            </w:r>
            <w:r w:rsidRPr="004B4FFB">
              <w:rPr>
                <w:sz w:val="22"/>
                <w:szCs w:val="22"/>
              </w:rPr>
              <w:t>1</w:t>
            </w:r>
            <w:r w:rsidRPr="004B4FFB">
              <w:rPr>
                <w:sz w:val="22"/>
                <w:szCs w:val="22"/>
                <w:lang w:val="ru-RU"/>
              </w:rPr>
              <w:t>5</w:t>
            </w:r>
            <w:r w:rsidRPr="004B4FFB">
              <w:rPr>
                <w:sz w:val="22"/>
                <w:szCs w:val="22"/>
              </w:rPr>
              <w:t xml:space="preserve">.19 – 15.21 </w:t>
            </w:r>
            <w:r w:rsidRPr="004B4FFB">
              <w:rPr>
                <w:sz w:val="22"/>
                <w:szCs w:val="22"/>
                <w:lang w:val="ru-RU"/>
              </w:rPr>
              <w:t>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4B4FFB">
              <w:rPr>
                <w:sz w:val="22"/>
                <w:szCs w:val="22"/>
              </w:rPr>
              <w:t xml:space="preserve">Изменен порядок закрытия Расчетных кодов Участников клиринга: закрытие осуществляется НКЦ при прекращении допуска Участника клиринга к клиринговому обслуживанию на соответствующем рынке или по запросу Участника клиринга. Запрос Участника клиринга исполняется </w:t>
            </w:r>
            <w:r w:rsidRPr="004B4FFB">
              <w:t xml:space="preserve">при условии </w:t>
            </w:r>
            <w:r w:rsidRPr="004B4FFB">
              <w:rPr>
                <w:sz w:val="22"/>
                <w:szCs w:val="22"/>
              </w:rPr>
              <w:t>отсутствия у Участника клиринга неисполненных обязательств и Обеспечения, учитываемых по такому Расчетному коду.</w:t>
            </w:r>
          </w:p>
          <w:p w:rsidR="00922776" w:rsidRPr="004B4FFB" w:rsidRDefault="00922776" w:rsidP="007440AE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4B4FFB">
              <w:rPr>
                <w:sz w:val="22"/>
                <w:szCs w:val="22"/>
              </w:rPr>
              <w:t>В связи с изменением порядка закрытия Расчетных кодов Участников клиринга переформулированы условия прекращения допуска к клиринговому обслуживанию на основании заявления Участника клиринга.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Для исполнения Запроса на закрытие Расчетного кода Участнику клиринга нужно предварительно вывести Обеспечение, учитываемое по такому Расчетному коду.</w:t>
            </w:r>
          </w:p>
        </w:tc>
      </w:tr>
      <w:tr w:rsidR="00922776" w:rsidRPr="004B4FFB" w:rsidTr="00AC564F">
        <w:trPr>
          <w:trHeight w:val="1550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  <w:lang w:val="ru-RU"/>
              </w:rPr>
            </w:pPr>
            <w:r w:rsidRPr="004B4FFB">
              <w:rPr>
                <w:b/>
                <w:sz w:val="22"/>
                <w:szCs w:val="22"/>
                <w:lang w:val="ru-RU"/>
              </w:rPr>
              <w:lastRenderedPageBreak/>
              <w:t>Уточнение формулировки случая, при котором НКЦ не вправе принять решение о проведении ликвидационного неттинга в случае назначения временной администрации по управлению Участником клиринга – Кредитной организацией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П.14.17.1, 60.4 общей части</w:t>
            </w:r>
            <w:r>
              <w:rPr>
                <w:sz w:val="22"/>
                <w:szCs w:val="22"/>
                <w:lang w:val="ru-RU"/>
              </w:rPr>
              <w:t xml:space="preserve"> Правил клиринга</w:t>
            </w:r>
            <w:r w:rsidRPr="004B4FF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tabs>
                <w:tab w:val="left" w:pos="306"/>
              </w:tabs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 xml:space="preserve">В случае назначения временной администрации по управлению Участником клиринга – Кредитной организацией в рамках мер по предупреждению банкротства кредитной организации, Клиринговый центр вправе, начиная с даты назначения временной администрации, принять решение о проведении в отношении такого Участника клиринга ликвидационного </w:t>
            </w:r>
            <w:proofErr w:type="spellStart"/>
            <w:r w:rsidRPr="004B4FFB">
              <w:rPr>
                <w:color w:val="000000" w:themeColor="text1"/>
                <w:sz w:val="22"/>
                <w:szCs w:val="22"/>
              </w:rPr>
              <w:t>неттинга</w:t>
            </w:r>
            <w:proofErr w:type="spellEnd"/>
            <w:r w:rsidRPr="004B4FFB">
              <w:rPr>
                <w:color w:val="000000" w:themeColor="text1"/>
                <w:sz w:val="22"/>
                <w:szCs w:val="22"/>
              </w:rPr>
              <w:t>, за исключением случая публичного заявления Банка России об оказании финансовой поддержки такому Участнику клиринга – Кредитной организации в целях обеспечения непрерывности его деятельности.</w:t>
            </w:r>
          </w:p>
        </w:tc>
        <w:tc>
          <w:tcPr>
            <w:tcW w:w="2693" w:type="dxa"/>
          </w:tcPr>
          <w:p w:rsidR="00922776" w:rsidRPr="004B4FFB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922776" w:rsidRPr="004B4FFB" w:rsidTr="00AC564F">
        <w:trPr>
          <w:trHeight w:val="2122"/>
        </w:trPr>
        <w:tc>
          <w:tcPr>
            <w:tcW w:w="2547" w:type="dxa"/>
            <w:shd w:val="clear" w:color="auto" w:fill="FBE4D5" w:themeFill="accent2" w:themeFillTint="33"/>
          </w:tcPr>
          <w:p w:rsidR="00922776" w:rsidRPr="004B4FFB" w:rsidDel="00EC019C" w:rsidRDefault="00922776" w:rsidP="00922776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  <w:lang w:val="ru-RU"/>
              </w:rPr>
            </w:pPr>
            <w:r w:rsidRPr="004B4FFB">
              <w:rPr>
                <w:b/>
                <w:sz w:val="22"/>
                <w:szCs w:val="22"/>
                <w:lang w:val="ru-RU"/>
              </w:rPr>
              <w:t>Устранение дублирующих положений о прекращении Договора об оказании клиринговых услуг и прекращении допуска к клиринговому обслуживанию</w:t>
            </w:r>
          </w:p>
        </w:tc>
        <w:tc>
          <w:tcPr>
            <w:tcW w:w="2693" w:type="dxa"/>
          </w:tcPr>
          <w:p w:rsidR="00922776" w:rsidRPr="004B4FFB" w:rsidDel="00EC019C" w:rsidRDefault="00922776" w:rsidP="007440AE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B4FFB">
              <w:rPr>
                <w:sz w:val="22"/>
                <w:szCs w:val="22"/>
                <w:lang w:val="ru-RU"/>
              </w:rPr>
              <w:t>Пункты 4.11, 14.15, 14.17-14.18 общей части П</w:t>
            </w:r>
            <w:r>
              <w:rPr>
                <w:sz w:val="22"/>
                <w:szCs w:val="22"/>
                <w:lang w:val="ru-RU"/>
              </w:rPr>
              <w:t>равил клиринга</w:t>
            </w:r>
            <w:r w:rsidRPr="004B4FF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7088" w:type="dxa"/>
          </w:tcPr>
          <w:p w:rsidR="00922776" w:rsidRPr="004B4FFB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действующей редакции правил клиринга три основания являются одновременно и основаниями прекращения Договора об оказании клиринговых услуг, и основаниями прекращения допуска к клиринговому обслуживанию.</w:t>
            </w:r>
          </w:p>
          <w:p w:rsidR="00922776" w:rsidRPr="004B4FFB" w:rsidDel="00EC019C" w:rsidRDefault="00922776" w:rsidP="007440AE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B4FFB">
              <w:rPr>
                <w:color w:val="000000"/>
                <w:sz w:val="22"/>
                <w:szCs w:val="22"/>
                <w:lang w:val="ru-RU"/>
              </w:rPr>
              <w:t>В новой редакции правил клиринга это дублирование устранено, формулировки оснований прекращения допуска к клиринговому обслуживанию приведения в соответствие формулировкам оснований проведения ликвидационного неттинга.</w:t>
            </w:r>
          </w:p>
        </w:tc>
        <w:tc>
          <w:tcPr>
            <w:tcW w:w="2693" w:type="dxa"/>
          </w:tcPr>
          <w:p w:rsidR="00922776" w:rsidRPr="004B4FFB" w:rsidDel="00EC019C" w:rsidRDefault="00922776" w:rsidP="007440AE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B4FFB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</w:tbl>
    <w:p w:rsidR="007B3F65" w:rsidRPr="007B3F65" w:rsidRDefault="007B3F65" w:rsidP="007B3F65">
      <w:pPr>
        <w:spacing w:before="120" w:after="120"/>
        <w:rPr>
          <w:b/>
        </w:rPr>
      </w:pPr>
      <w:r w:rsidRPr="007B3F65">
        <w:rPr>
          <w:b/>
        </w:rPr>
        <w:t>Правила клиринга вступают в силу, за исключением:</w:t>
      </w:r>
    </w:p>
    <w:p w:rsidR="007B3F65" w:rsidRDefault="007B3F65" w:rsidP="007B3F65">
      <w:pPr>
        <w:numPr>
          <w:ilvl w:val="0"/>
          <w:numId w:val="4"/>
        </w:numPr>
        <w:spacing w:before="240"/>
        <w:ind w:left="1276" w:hanging="567"/>
        <w:contextualSpacing/>
        <w:rPr>
          <w:rFonts w:ascii="Garamond" w:hAnsi="Garamond" w:cs="Gautami"/>
        </w:rPr>
      </w:pPr>
      <w:r>
        <w:rPr>
          <w:rFonts w:ascii="Garamond" w:hAnsi="Garamond" w:cs="Gautami"/>
        </w:rPr>
        <w:t xml:space="preserve">в </w:t>
      </w:r>
      <w:r w:rsidRPr="001E59CB">
        <w:rPr>
          <w:rFonts w:ascii="Garamond" w:hAnsi="Garamond" w:cs="Gautami"/>
          <w:b/>
        </w:rPr>
        <w:t>Части I</w:t>
      </w:r>
      <w:r w:rsidRPr="003C6B93">
        <w:rPr>
          <w:rFonts w:ascii="Garamond" w:hAnsi="Garamond" w:cs="Gautami"/>
        </w:rPr>
        <w:t xml:space="preserve"> Правил клиринга: </w:t>
      </w:r>
    </w:p>
    <w:p w:rsidR="007B3F65" w:rsidRPr="001E59CB" w:rsidRDefault="007B3F65" w:rsidP="007B3F65">
      <w:pPr>
        <w:pStyle w:val="a3"/>
        <w:numPr>
          <w:ilvl w:val="0"/>
          <w:numId w:val="5"/>
        </w:numPr>
        <w:tabs>
          <w:tab w:val="left" w:pos="1713"/>
        </w:tabs>
        <w:spacing w:before="120"/>
        <w:ind w:hanging="797"/>
        <w:contextualSpacing/>
        <w:jc w:val="both"/>
        <w:rPr>
          <w:rFonts w:ascii="Garamond" w:hAnsi="Garamond"/>
          <w:b/>
        </w:rPr>
      </w:pPr>
      <w:r w:rsidRPr="001E59CB">
        <w:rPr>
          <w:rFonts w:ascii="Garamond" w:hAnsi="Garamond"/>
          <w:b/>
        </w:rPr>
        <w:t>пунктов 32.7, 32.11,</w:t>
      </w:r>
    </w:p>
    <w:p w:rsidR="007B3F65" w:rsidRPr="00C366F3" w:rsidRDefault="007B3F65" w:rsidP="007B3F65">
      <w:pPr>
        <w:ind w:left="709"/>
        <w:jc w:val="both"/>
        <w:rPr>
          <w:rFonts w:ascii="Garamond" w:hAnsi="Garamond"/>
        </w:rPr>
      </w:pPr>
      <w:r w:rsidRPr="00C366F3">
        <w:rPr>
          <w:rFonts w:ascii="Garamond" w:hAnsi="Garamond"/>
        </w:rPr>
        <w:lastRenderedPageBreak/>
        <w:t xml:space="preserve">В связи с технической неготовностью </w:t>
      </w:r>
      <w:r>
        <w:rPr>
          <w:rFonts w:ascii="Garamond" w:hAnsi="Garamond"/>
        </w:rPr>
        <w:t xml:space="preserve">реализации </w:t>
      </w:r>
      <w:r w:rsidRPr="00C366F3">
        <w:rPr>
          <w:rFonts w:ascii="Garamond" w:hAnsi="Garamond"/>
        </w:rPr>
        <w:t>задачи по изменению порядка исполнения Постоянного поручения на возврат обеспечения в размере Итогового</w:t>
      </w:r>
      <w:r>
        <w:rPr>
          <w:rFonts w:ascii="Garamond" w:hAnsi="Garamond"/>
        </w:rPr>
        <w:t xml:space="preserve"> </w:t>
      </w:r>
      <w:r w:rsidRPr="00C366F3">
        <w:rPr>
          <w:rFonts w:ascii="Garamond" w:hAnsi="Garamond"/>
        </w:rPr>
        <w:t>нетто</w:t>
      </w:r>
      <w:r>
        <w:rPr>
          <w:rFonts w:ascii="Garamond" w:hAnsi="Garamond"/>
        </w:rPr>
        <w:t>-</w:t>
      </w:r>
      <w:r w:rsidRPr="00C366F3">
        <w:rPr>
          <w:rFonts w:ascii="Garamond" w:hAnsi="Garamond"/>
        </w:rPr>
        <w:t xml:space="preserve">требования, </w:t>
      </w:r>
      <w:r>
        <w:rPr>
          <w:rFonts w:ascii="Garamond" w:hAnsi="Garamond"/>
        </w:rPr>
        <w:t xml:space="preserve">будут действовать </w:t>
      </w:r>
      <w:r w:rsidRPr="00C366F3">
        <w:rPr>
          <w:rFonts w:ascii="Garamond" w:hAnsi="Garamond"/>
        </w:rPr>
        <w:t xml:space="preserve">пункты 32.7 и 32.11 </w:t>
      </w:r>
      <w:r>
        <w:rPr>
          <w:rFonts w:ascii="Garamond" w:hAnsi="Garamond"/>
        </w:rPr>
        <w:t>из предыдущей</w:t>
      </w:r>
      <w:r w:rsidRPr="00C366F3">
        <w:rPr>
          <w:rFonts w:ascii="Garamond" w:hAnsi="Garamond"/>
        </w:rPr>
        <w:t xml:space="preserve"> редакции Части I Правил клиринга.</w:t>
      </w:r>
    </w:p>
    <w:p w:rsidR="007B3F65" w:rsidRPr="001E59CB" w:rsidRDefault="007B3F65" w:rsidP="007B3F65">
      <w:pPr>
        <w:numPr>
          <w:ilvl w:val="0"/>
          <w:numId w:val="3"/>
        </w:numPr>
        <w:tabs>
          <w:tab w:val="left" w:pos="1713"/>
        </w:tabs>
        <w:contextualSpacing/>
        <w:jc w:val="both"/>
        <w:rPr>
          <w:rFonts w:ascii="Garamond" w:hAnsi="Garamond"/>
          <w:b/>
        </w:rPr>
      </w:pPr>
      <w:r w:rsidRPr="001E59CB">
        <w:rPr>
          <w:rFonts w:ascii="Garamond" w:hAnsi="Garamond"/>
          <w:b/>
        </w:rPr>
        <w:t>подпункта 1) пункта 33.6,</w:t>
      </w:r>
    </w:p>
    <w:p w:rsidR="007B3F65" w:rsidRDefault="007B3F65" w:rsidP="007B3F65">
      <w:pPr>
        <w:tabs>
          <w:tab w:val="left" w:pos="1713"/>
        </w:tabs>
        <w:ind w:left="709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В связи с планируемой реализацией задачи по п</w:t>
      </w:r>
      <w:r w:rsidRPr="00333938">
        <w:rPr>
          <w:rFonts w:ascii="Garamond" w:hAnsi="Garamond"/>
        </w:rPr>
        <w:t>редоставлени</w:t>
      </w:r>
      <w:r>
        <w:rPr>
          <w:rFonts w:ascii="Garamond" w:hAnsi="Garamond"/>
        </w:rPr>
        <w:t xml:space="preserve">ю </w:t>
      </w:r>
      <w:proofErr w:type="spellStart"/>
      <w:r w:rsidRPr="00333938">
        <w:rPr>
          <w:rFonts w:ascii="Garamond" w:hAnsi="Garamond"/>
        </w:rPr>
        <w:t>корпоратам</w:t>
      </w:r>
      <w:proofErr w:type="spellEnd"/>
      <w:r w:rsidRPr="00333938">
        <w:rPr>
          <w:rFonts w:ascii="Garamond" w:hAnsi="Garamond"/>
        </w:rPr>
        <w:t xml:space="preserve"> доступа к Единому пулу обеспечения </w:t>
      </w:r>
      <w:r>
        <w:rPr>
          <w:rFonts w:ascii="Garamond" w:hAnsi="Garamond"/>
        </w:rPr>
        <w:t xml:space="preserve">которая позволяет Участнику клиринга, не имея </w:t>
      </w:r>
      <w:r w:rsidRPr="00333938">
        <w:rPr>
          <w:rFonts w:ascii="Garamond" w:hAnsi="Garamond"/>
        </w:rPr>
        <w:t>допуск к клиринговому обслуживанию на фондовом рынке</w:t>
      </w:r>
      <w:r>
        <w:rPr>
          <w:rFonts w:ascii="Garamond" w:hAnsi="Garamond"/>
        </w:rPr>
        <w:t xml:space="preserve">, рынке депозитов и рынке кредитов, получить доступ </w:t>
      </w:r>
      <w:r w:rsidRPr="00BB3116">
        <w:rPr>
          <w:rFonts w:ascii="Garamond" w:hAnsi="Garamond"/>
        </w:rPr>
        <w:t>к сервисам Единого пула обеспечения</w:t>
      </w:r>
      <w:r>
        <w:rPr>
          <w:rFonts w:ascii="Garamond" w:hAnsi="Garamond"/>
        </w:rPr>
        <w:t xml:space="preserve">, </w:t>
      </w:r>
      <w:r w:rsidRPr="00333938">
        <w:rPr>
          <w:rFonts w:ascii="Garamond" w:hAnsi="Garamond"/>
        </w:rPr>
        <w:t xml:space="preserve">и возможности внесения </w:t>
      </w:r>
      <w:r>
        <w:rPr>
          <w:rFonts w:ascii="Garamond" w:hAnsi="Garamond"/>
        </w:rPr>
        <w:t xml:space="preserve">с 28.09.20 </w:t>
      </w:r>
      <w:r w:rsidRPr="00333938">
        <w:rPr>
          <w:rFonts w:ascii="Garamond" w:hAnsi="Garamond"/>
        </w:rPr>
        <w:t>ценных бумаг в обеспечение</w:t>
      </w:r>
      <w:r>
        <w:rPr>
          <w:rFonts w:ascii="Garamond" w:hAnsi="Garamond"/>
        </w:rPr>
        <w:t>, подпункт</w:t>
      </w:r>
      <w:r w:rsidRPr="0006167F">
        <w:rPr>
          <w:rFonts w:ascii="Garamond" w:hAnsi="Garamond"/>
        </w:rPr>
        <w:t xml:space="preserve"> 1)</w:t>
      </w:r>
      <w:r>
        <w:rPr>
          <w:rFonts w:ascii="Garamond" w:hAnsi="Garamond"/>
        </w:rPr>
        <w:t xml:space="preserve"> </w:t>
      </w:r>
      <w:r w:rsidRPr="0006167F">
        <w:rPr>
          <w:rFonts w:ascii="Garamond" w:hAnsi="Garamond"/>
        </w:rPr>
        <w:t>пункта 33.</w:t>
      </w:r>
      <w:r>
        <w:rPr>
          <w:rFonts w:ascii="Garamond" w:hAnsi="Garamond"/>
        </w:rPr>
        <w:t>6</w:t>
      </w:r>
      <w:r w:rsidRPr="0006167F">
        <w:t xml:space="preserve"> </w:t>
      </w:r>
      <w:r>
        <w:rPr>
          <w:rFonts w:ascii="Garamond" w:hAnsi="Garamond"/>
        </w:rPr>
        <w:t xml:space="preserve">будет исключен из ближайшей следующей редакции </w:t>
      </w:r>
      <w:r w:rsidRPr="0006167F">
        <w:rPr>
          <w:rFonts w:ascii="Garamond" w:hAnsi="Garamond"/>
        </w:rPr>
        <w:t>Части I Правил</w:t>
      </w:r>
      <w:r>
        <w:rPr>
          <w:rFonts w:ascii="Garamond" w:hAnsi="Garamond"/>
        </w:rPr>
        <w:t xml:space="preserve"> клиринга.</w:t>
      </w:r>
    </w:p>
    <w:p w:rsidR="007B3F65" w:rsidRPr="001E59CB" w:rsidRDefault="007B3F65" w:rsidP="007B3F65">
      <w:pPr>
        <w:numPr>
          <w:ilvl w:val="0"/>
          <w:numId w:val="3"/>
        </w:numPr>
        <w:tabs>
          <w:tab w:val="left" w:pos="1713"/>
        </w:tabs>
        <w:spacing w:before="120"/>
        <w:ind w:left="1712" w:hanging="357"/>
        <w:jc w:val="both"/>
        <w:rPr>
          <w:rFonts w:ascii="Garamond" w:hAnsi="Garamond"/>
          <w:b/>
        </w:rPr>
      </w:pPr>
      <w:r w:rsidRPr="001E59CB">
        <w:rPr>
          <w:rFonts w:ascii="Garamond" w:hAnsi="Garamond"/>
          <w:b/>
        </w:rPr>
        <w:t>пунктов 41.8, 41.9.</w:t>
      </w:r>
    </w:p>
    <w:p w:rsidR="007B3F65" w:rsidRPr="003C6B93" w:rsidRDefault="007B3F65" w:rsidP="007B3F65">
      <w:pPr>
        <w:ind w:left="709"/>
        <w:jc w:val="both"/>
        <w:rPr>
          <w:rFonts w:ascii="Garamond" w:hAnsi="Garamond"/>
        </w:rPr>
      </w:pPr>
      <w:bookmarkStart w:id="5" w:name="_Hlk50538660"/>
      <w:r w:rsidRPr="003C6B93">
        <w:rPr>
          <w:rFonts w:ascii="Garamond" w:hAnsi="Garamond"/>
        </w:rPr>
        <w:t>Реализация задачи «</w:t>
      </w:r>
      <w:r w:rsidRPr="005825F9">
        <w:rPr>
          <w:rFonts w:ascii="Garamond" w:hAnsi="Garamond"/>
        </w:rPr>
        <w:t>Ранние расчеты на ФР с возможностью возврата обеспечения</w:t>
      </w:r>
      <w:r w:rsidRPr="003C6B93">
        <w:rPr>
          <w:rFonts w:ascii="Garamond" w:hAnsi="Garamond"/>
        </w:rPr>
        <w:t>» не включена в релиз</w:t>
      </w:r>
      <w:r>
        <w:rPr>
          <w:rFonts w:ascii="Garamond" w:hAnsi="Garamond"/>
        </w:rPr>
        <w:t xml:space="preserve"> ФР и ВР 28</w:t>
      </w:r>
      <w:r w:rsidRPr="003C6B93">
        <w:rPr>
          <w:rFonts w:ascii="Garamond" w:hAnsi="Garamond"/>
        </w:rPr>
        <w:t xml:space="preserve"> </w:t>
      </w:r>
      <w:r>
        <w:rPr>
          <w:rFonts w:ascii="Garamond" w:hAnsi="Garamond"/>
        </w:rPr>
        <w:t>сентябр</w:t>
      </w:r>
      <w:r w:rsidRPr="003C6B93">
        <w:rPr>
          <w:rFonts w:ascii="Garamond" w:hAnsi="Garamond"/>
        </w:rPr>
        <w:t>я 2020 г.</w:t>
      </w:r>
    </w:p>
    <w:bookmarkEnd w:id="5"/>
    <w:p w:rsidR="007B3F65" w:rsidRPr="003C6B93" w:rsidRDefault="007B3F65" w:rsidP="007B3F65">
      <w:pPr>
        <w:ind w:left="709"/>
        <w:jc w:val="both"/>
        <w:rPr>
          <w:rFonts w:ascii="Garamond" w:hAnsi="Garamond"/>
        </w:rPr>
      </w:pPr>
      <w:r w:rsidRPr="003C6B93">
        <w:rPr>
          <w:rFonts w:ascii="Garamond" w:hAnsi="Garamond"/>
        </w:rPr>
        <w:t>Вступление в силу пункт</w:t>
      </w:r>
      <w:r>
        <w:rPr>
          <w:rFonts w:ascii="Garamond" w:hAnsi="Garamond"/>
        </w:rPr>
        <w:t>ов</w:t>
      </w:r>
      <w:r w:rsidRPr="003C6B9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32.7, 32.11, 41.8, 41.9 </w:t>
      </w:r>
      <w:r w:rsidRPr="003C6B93">
        <w:rPr>
          <w:rFonts w:ascii="Garamond" w:hAnsi="Garamond"/>
        </w:rPr>
        <w:t>будет определен</w:t>
      </w:r>
      <w:r>
        <w:rPr>
          <w:rFonts w:ascii="Garamond" w:hAnsi="Garamond"/>
        </w:rPr>
        <w:t>о</w:t>
      </w:r>
      <w:r w:rsidRPr="003C6B93">
        <w:rPr>
          <w:rFonts w:ascii="Garamond" w:hAnsi="Garamond"/>
        </w:rPr>
        <w:t xml:space="preserve"> отдельным решением Правления.</w:t>
      </w:r>
    </w:p>
    <w:p w:rsidR="007B3F65" w:rsidRPr="003C6B93" w:rsidRDefault="007B3F65" w:rsidP="007B3F65">
      <w:pPr>
        <w:ind w:firstLine="709"/>
        <w:jc w:val="both"/>
        <w:rPr>
          <w:rFonts w:ascii="Garamond" w:hAnsi="Garamond"/>
        </w:rPr>
      </w:pPr>
    </w:p>
    <w:p w:rsidR="007B3F65" w:rsidRDefault="007B3F65" w:rsidP="007B3F65">
      <w:pPr>
        <w:numPr>
          <w:ilvl w:val="0"/>
          <w:numId w:val="4"/>
        </w:numPr>
        <w:spacing w:before="240"/>
        <w:ind w:left="1276" w:hanging="567"/>
        <w:contextualSpacing/>
        <w:rPr>
          <w:rFonts w:ascii="Garamond" w:hAnsi="Garamond" w:cs="Gautami"/>
        </w:rPr>
      </w:pPr>
      <w:r>
        <w:rPr>
          <w:rFonts w:ascii="Garamond" w:hAnsi="Garamond" w:cs="Gautami"/>
        </w:rPr>
        <w:t xml:space="preserve">в </w:t>
      </w:r>
      <w:r w:rsidRPr="001E59CB">
        <w:rPr>
          <w:rFonts w:ascii="Garamond" w:hAnsi="Garamond" w:cs="Gautami"/>
          <w:b/>
        </w:rPr>
        <w:t>Части II</w:t>
      </w:r>
      <w:r w:rsidRPr="00600082">
        <w:rPr>
          <w:rFonts w:ascii="Garamond" w:hAnsi="Garamond" w:cs="Gautami"/>
        </w:rPr>
        <w:t xml:space="preserve"> </w:t>
      </w:r>
      <w:r>
        <w:rPr>
          <w:rFonts w:ascii="Garamond" w:hAnsi="Garamond" w:cs="Gautami"/>
        </w:rPr>
        <w:t>П</w:t>
      </w:r>
      <w:r w:rsidRPr="00600082">
        <w:rPr>
          <w:rFonts w:ascii="Garamond" w:hAnsi="Garamond" w:cs="Gautami"/>
        </w:rPr>
        <w:t>равил клиринга</w:t>
      </w:r>
      <w:r>
        <w:rPr>
          <w:rFonts w:ascii="Garamond" w:hAnsi="Garamond" w:cs="Gautami"/>
        </w:rPr>
        <w:t>:</w:t>
      </w:r>
    </w:p>
    <w:p w:rsidR="007B3F65" w:rsidRPr="001E59CB" w:rsidRDefault="007B3F65" w:rsidP="007B3F65">
      <w:pPr>
        <w:numPr>
          <w:ilvl w:val="0"/>
          <w:numId w:val="3"/>
        </w:numPr>
        <w:tabs>
          <w:tab w:val="left" w:pos="1713"/>
        </w:tabs>
        <w:contextualSpacing/>
        <w:jc w:val="both"/>
        <w:rPr>
          <w:rFonts w:ascii="Garamond" w:hAnsi="Garamond"/>
          <w:b/>
        </w:rPr>
      </w:pPr>
      <w:r w:rsidRPr="001E59CB">
        <w:rPr>
          <w:rFonts w:ascii="Garamond" w:hAnsi="Garamond"/>
          <w:b/>
        </w:rPr>
        <w:t>пунктов 22.2, 27.14, статьи 35.</w:t>
      </w:r>
    </w:p>
    <w:p w:rsidR="007B3F65" w:rsidRPr="003C6B93" w:rsidRDefault="007B3F65" w:rsidP="007B3F65">
      <w:pPr>
        <w:spacing w:before="120"/>
        <w:ind w:left="709"/>
        <w:jc w:val="both"/>
        <w:rPr>
          <w:rFonts w:ascii="Garamond" w:hAnsi="Garamond"/>
        </w:rPr>
      </w:pPr>
      <w:r w:rsidRPr="009E4DC6">
        <w:rPr>
          <w:rFonts w:ascii="Garamond" w:hAnsi="Garamond"/>
        </w:rPr>
        <w:t>Реализация задач</w:t>
      </w:r>
      <w:r>
        <w:rPr>
          <w:rFonts w:ascii="Garamond" w:hAnsi="Garamond"/>
        </w:rPr>
        <w:t>и</w:t>
      </w:r>
      <w:r w:rsidRPr="009E4DC6">
        <w:rPr>
          <w:rFonts w:ascii="Garamond" w:hAnsi="Garamond"/>
        </w:rPr>
        <w:t xml:space="preserve"> Т-1461 «Досрочный возврат депозитов с ЦК», не включена в релиз </w:t>
      </w:r>
      <w:r>
        <w:rPr>
          <w:rFonts w:ascii="Garamond" w:hAnsi="Garamond"/>
        </w:rPr>
        <w:t>ФР и ВР 28</w:t>
      </w:r>
      <w:r w:rsidRPr="003C6B93">
        <w:rPr>
          <w:rFonts w:ascii="Garamond" w:hAnsi="Garamond"/>
        </w:rPr>
        <w:t xml:space="preserve"> </w:t>
      </w:r>
      <w:r>
        <w:rPr>
          <w:rFonts w:ascii="Garamond" w:hAnsi="Garamond"/>
        </w:rPr>
        <w:t>сентябр</w:t>
      </w:r>
      <w:r w:rsidRPr="003C6B93">
        <w:rPr>
          <w:rFonts w:ascii="Garamond" w:hAnsi="Garamond"/>
        </w:rPr>
        <w:t>я 2020 г.</w:t>
      </w:r>
    </w:p>
    <w:p w:rsidR="007B3F65" w:rsidRDefault="007B3F65" w:rsidP="007B3F65">
      <w:pPr>
        <w:ind w:left="709"/>
        <w:jc w:val="both"/>
        <w:rPr>
          <w:rFonts w:ascii="Garamond" w:hAnsi="Garamond"/>
        </w:rPr>
      </w:pPr>
      <w:r w:rsidRPr="009E4DC6">
        <w:rPr>
          <w:rFonts w:ascii="Garamond" w:hAnsi="Garamond"/>
        </w:rPr>
        <w:t>Вступление в силу пунктов 22.2, 27.14, статьи 35 будет определено отдельным решением Правления.</w:t>
      </w:r>
    </w:p>
    <w:p w:rsidR="007B3F65" w:rsidRDefault="007B3F65" w:rsidP="007B3F65">
      <w:pPr>
        <w:numPr>
          <w:ilvl w:val="0"/>
          <w:numId w:val="4"/>
        </w:numPr>
        <w:spacing w:before="120"/>
        <w:ind w:left="1276" w:hanging="567"/>
        <w:rPr>
          <w:rFonts w:ascii="Garamond" w:hAnsi="Garamond" w:cs="Gautami"/>
        </w:rPr>
      </w:pPr>
      <w:r>
        <w:rPr>
          <w:rFonts w:ascii="Garamond" w:hAnsi="Garamond" w:cs="Gautami"/>
        </w:rPr>
        <w:t xml:space="preserve">в </w:t>
      </w:r>
      <w:r w:rsidRPr="001E59CB">
        <w:rPr>
          <w:rFonts w:ascii="Garamond" w:hAnsi="Garamond" w:cs="Gautami"/>
          <w:b/>
        </w:rPr>
        <w:t>Части VI</w:t>
      </w:r>
      <w:r w:rsidRPr="00600082">
        <w:rPr>
          <w:rFonts w:ascii="Garamond" w:hAnsi="Garamond" w:cs="Gautami"/>
        </w:rPr>
        <w:t xml:space="preserve"> </w:t>
      </w:r>
      <w:r>
        <w:rPr>
          <w:rFonts w:ascii="Garamond" w:hAnsi="Garamond" w:cs="Gautami"/>
        </w:rPr>
        <w:t>П</w:t>
      </w:r>
      <w:r w:rsidRPr="00600082">
        <w:rPr>
          <w:rFonts w:ascii="Garamond" w:hAnsi="Garamond" w:cs="Gautami"/>
        </w:rPr>
        <w:t>равил клиринга</w:t>
      </w:r>
      <w:r>
        <w:rPr>
          <w:rFonts w:ascii="Garamond" w:hAnsi="Garamond" w:cs="Gautami"/>
        </w:rPr>
        <w:t>:</w:t>
      </w:r>
    </w:p>
    <w:p w:rsidR="007B3F65" w:rsidRPr="001E59CB" w:rsidRDefault="007B3F65" w:rsidP="007B3F65">
      <w:pPr>
        <w:numPr>
          <w:ilvl w:val="0"/>
          <w:numId w:val="3"/>
        </w:numPr>
        <w:tabs>
          <w:tab w:val="left" w:pos="1713"/>
        </w:tabs>
        <w:contextualSpacing/>
        <w:jc w:val="both"/>
        <w:rPr>
          <w:rFonts w:ascii="Garamond" w:hAnsi="Garamond"/>
          <w:b/>
        </w:rPr>
      </w:pPr>
      <w:r w:rsidRPr="001E59CB">
        <w:rPr>
          <w:rFonts w:ascii="Garamond" w:hAnsi="Garamond"/>
          <w:b/>
        </w:rPr>
        <w:t>пунктов 4.5, 4.6.</w:t>
      </w:r>
    </w:p>
    <w:p w:rsidR="007B3F65" w:rsidRPr="008408F4" w:rsidRDefault="007B3F65" w:rsidP="007B3F65">
      <w:pPr>
        <w:spacing w:before="120"/>
        <w:ind w:left="709"/>
        <w:jc w:val="both"/>
        <w:rPr>
          <w:rFonts w:ascii="Garamond" w:hAnsi="Garamond"/>
        </w:rPr>
      </w:pPr>
      <w:r w:rsidRPr="008408F4">
        <w:rPr>
          <w:rFonts w:ascii="Garamond" w:hAnsi="Garamond"/>
        </w:rPr>
        <w:t>Вступление в силу пунктов 4.5, 4.6, устанавливающих допуск корпоративных клиентов и страховых компаний на рынок СПФИ, будет определено отдельным решением Правления.</w:t>
      </w:r>
    </w:p>
    <w:p w:rsidR="003D2351" w:rsidRDefault="003D2351"/>
    <w:sectPr w:rsidR="003D2351" w:rsidSect="0092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8C7"/>
    <w:multiLevelType w:val="hybridMultilevel"/>
    <w:tmpl w:val="0B622EB2"/>
    <w:lvl w:ilvl="0" w:tplc="D158B0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5247EC3"/>
    <w:multiLevelType w:val="hybridMultilevel"/>
    <w:tmpl w:val="A41691D0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5B1B57AA"/>
    <w:multiLevelType w:val="hybridMultilevel"/>
    <w:tmpl w:val="394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11B22"/>
    <w:multiLevelType w:val="hybridMultilevel"/>
    <w:tmpl w:val="4C72289A"/>
    <w:lvl w:ilvl="0" w:tplc="9542B132">
      <w:start w:val="1"/>
      <w:numFmt w:val="decimal"/>
      <w:lvlText w:val="%1."/>
      <w:lvlJc w:val="left"/>
      <w:pPr>
        <w:ind w:left="1353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3A37E4B"/>
    <w:multiLevelType w:val="hybridMultilevel"/>
    <w:tmpl w:val="59E056B4"/>
    <w:lvl w:ilvl="0" w:tplc="AD5C186E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76"/>
    <w:rsid w:val="001A3DC4"/>
    <w:rsid w:val="001E59CB"/>
    <w:rsid w:val="00202BDE"/>
    <w:rsid w:val="003D2351"/>
    <w:rsid w:val="00562E36"/>
    <w:rsid w:val="006F413B"/>
    <w:rsid w:val="007473F6"/>
    <w:rsid w:val="007B3F65"/>
    <w:rsid w:val="00845216"/>
    <w:rsid w:val="00922776"/>
    <w:rsid w:val="00AC564F"/>
    <w:rsid w:val="00B84B86"/>
    <w:rsid w:val="00C629F8"/>
    <w:rsid w:val="00E72FD9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1605"/>
  <w15:chartTrackingRefBased/>
  <w15:docId w15:val="{00BCAFD5-674D-4226-B58C-D701A7F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776"/>
    <w:pPr>
      <w:ind w:left="708"/>
    </w:pPr>
  </w:style>
  <w:style w:type="table" w:styleId="a4">
    <w:name w:val="Table Grid"/>
    <w:basedOn w:val="a1"/>
    <w:rsid w:val="00922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 tab"/>
    <w:basedOn w:val="a"/>
    <w:link w:val="Texttab0"/>
    <w:qFormat/>
    <w:rsid w:val="00922776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922776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texttab1">
    <w:name w:val="texttab"/>
    <w:basedOn w:val="a"/>
    <w:uiPriority w:val="99"/>
    <w:rsid w:val="00E72FD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Пак Лилия Олеговна</cp:lastModifiedBy>
  <cp:revision>9</cp:revision>
  <dcterms:created xsi:type="dcterms:W3CDTF">2020-09-21T09:34:00Z</dcterms:created>
  <dcterms:modified xsi:type="dcterms:W3CDTF">2020-10-06T11:50:00Z</dcterms:modified>
</cp:coreProperties>
</file>