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AE" w:rsidRDefault="007446AE" w:rsidP="007446AE">
      <w:pPr>
        <w:spacing w:after="16" w:line="259" w:lineRule="auto"/>
        <w:ind w:left="430"/>
        <w:jc w:val="center"/>
      </w:pPr>
      <w:r>
        <w:rPr>
          <w:b/>
          <w:sz w:val="22"/>
        </w:rPr>
        <w:t xml:space="preserve">Договор поручительства </w:t>
      </w:r>
      <w:r>
        <w:rPr>
          <w:sz w:val="22"/>
        </w:rPr>
        <w:t xml:space="preserve"> </w:t>
      </w:r>
    </w:p>
    <w:p w:rsidR="007446AE" w:rsidRDefault="007446AE" w:rsidP="007446AE">
      <w:pPr>
        <w:tabs>
          <w:tab w:val="center" w:pos="8276"/>
        </w:tabs>
        <w:spacing w:after="77" w:line="268" w:lineRule="auto"/>
        <w:ind w:left="-15" w:firstLine="0"/>
        <w:jc w:val="left"/>
      </w:pPr>
      <w:r>
        <w:rPr>
          <w:sz w:val="22"/>
        </w:rPr>
        <w:t xml:space="preserve">г. Москва </w:t>
      </w:r>
      <w:r>
        <w:rPr>
          <w:sz w:val="22"/>
        </w:rPr>
        <w:tab/>
        <w:t xml:space="preserve">«___» _____________20__ года </w:t>
      </w:r>
    </w:p>
    <w:p w:rsidR="007446AE" w:rsidRDefault="007446AE" w:rsidP="007446AE">
      <w:pPr>
        <w:spacing w:after="85" w:line="268" w:lineRule="auto"/>
        <w:ind w:left="-5"/>
      </w:pPr>
      <w:r>
        <w:rPr>
          <w:sz w:val="22"/>
        </w:rPr>
        <w:t>[</w:t>
      </w:r>
      <w:r>
        <w:rPr>
          <w:i/>
          <w:sz w:val="22"/>
        </w:rPr>
        <w:t>указывается полное фирменное наименование или ФИО ИП</w:t>
      </w:r>
      <w:r>
        <w:rPr>
          <w:sz w:val="22"/>
        </w:rPr>
        <w:t xml:space="preserve">] (далее – Поручитель), и </w:t>
      </w:r>
      <w:r>
        <w:rPr>
          <w:b/>
          <w:sz w:val="22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>
        <w:rPr>
          <w:sz w:val="22"/>
        </w:rPr>
        <w:t xml:space="preserve">, (далее – Кредитор), в лице ____________, действующего на основании ______________________, заключили настоящий договор о нижеследующем: </w:t>
      </w:r>
    </w:p>
    <w:p w:rsidR="007446AE" w:rsidRDefault="007446AE" w:rsidP="007446AE">
      <w:pPr>
        <w:numPr>
          <w:ilvl w:val="0"/>
          <w:numId w:val="1"/>
        </w:numPr>
        <w:spacing w:after="88" w:line="268" w:lineRule="auto"/>
        <w:ind w:hanging="331"/>
      </w:pPr>
      <w:r>
        <w:rPr>
          <w:sz w:val="22"/>
        </w:rPr>
        <w:t>Поручитель обязуется отвечать перед Кредитором за исполнение [</w:t>
      </w:r>
      <w:r>
        <w:rPr>
          <w:i/>
          <w:sz w:val="22"/>
        </w:rPr>
        <w:t>полное фирменное наименование и ИНН</w:t>
      </w:r>
      <w:r>
        <w:rPr>
          <w:sz w:val="22"/>
        </w:rPr>
        <w:t>] (далее – Должник) своих обязательств (как действующих, так и обязательств, которые могут возникнуть в будущем) по договору хранения товара [</w:t>
      </w:r>
      <w:r>
        <w:rPr>
          <w:i/>
          <w:sz w:val="22"/>
        </w:rPr>
        <w:t>указываются реквизиты договора хранения</w:t>
      </w:r>
      <w:r>
        <w:rPr>
          <w:sz w:val="22"/>
        </w:rPr>
        <w:t>], (далее – договор хранения). Поручитель осознает и подтверждает, что поручительство выдается им в рамках осуществления предпринимательской деятельности.</w:t>
      </w:r>
      <w:r>
        <w:rPr>
          <w:sz w:val="22"/>
          <w:vertAlign w:val="superscript"/>
        </w:rPr>
        <w:footnoteReference w:id="1"/>
      </w:r>
      <w:r>
        <w:rPr>
          <w:sz w:val="22"/>
        </w:rPr>
        <w:t xml:space="preserve">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>Условия договора хранения установлены Правилами хранения</w:t>
      </w:r>
      <w:r>
        <w:rPr>
          <w:sz w:val="22"/>
          <w:vertAlign w:val="superscript"/>
        </w:rPr>
        <w:footnoteReference w:id="2"/>
      </w:r>
      <w:r>
        <w:rPr>
          <w:sz w:val="22"/>
        </w:rPr>
        <w:t xml:space="preserve">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Поручитель и Должник отвечают перед Кредитором солидарно в полном объеме, включая уплату процентов, возмещение судебных издержек по взысканию долга и иных убытков Кредитора, вызванных неисполнением или ненадлежащим исполнением Должником своих обязательств по договору хранения.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пределах, установленных такими изменениями.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Поручитель обязуется исполнить требования Кредитора в срок, не превышающий 10 (десяти) рабочих дней со дня их получения.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Исполнение денежных обязательств перед Кредитором осуществляется Поручителем в безналичном порядке или иным способом, письменно согласованным с Кредитором.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Поручитель считается исполнившим обязательство по уплате денежных средств Кредитору в объеме, предусмотренном настоящим договором, в момент зачисления денежных средств на счет Кредитора. 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В случае исполнения Поручителем обеспеченного обязательства Кредитор должен передать ему документы, удостоверяющие требование к Должнику, в течение 10 (десяти) рабочих дней с момента исполнения.  </w:t>
      </w:r>
    </w:p>
    <w:p w:rsidR="007446AE" w:rsidRDefault="007446AE" w:rsidP="007446AE">
      <w:pPr>
        <w:numPr>
          <w:ilvl w:val="0"/>
          <w:numId w:val="1"/>
        </w:numPr>
        <w:spacing w:after="74" w:line="268" w:lineRule="auto"/>
        <w:ind w:hanging="331"/>
      </w:pPr>
      <w:r>
        <w:rPr>
          <w:sz w:val="22"/>
        </w:rPr>
        <w:t xml:space="preserve">В случае нарушения Поручителем срока исполнения требования Кредитора, последний вправе потребовать от Поручителя выплаты пеней в размере 0,1% (ноль целых одна десятая процента) от суммы неисполненного обязательства за каждый день просрочки. </w:t>
      </w:r>
    </w:p>
    <w:p w:rsidR="007446AE" w:rsidRDefault="007446AE" w:rsidP="007446AE">
      <w:pPr>
        <w:numPr>
          <w:ilvl w:val="0"/>
          <w:numId w:val="1"/>
        </w:numPr>
        <w:spacing w:after="29" w:line="268" w:lineRule="auto"/>
        <w:ind w:hanging="331"/>
      </w:pPr>
      <w:r>
        <w:rPr>
          <w:sz w:val="22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Москвы. </w:t>
      </w:r>
    </w:p>
    <w:p w:rsidR="007446AE" w:rsidRDefault="007446AE" w:rsidP="007446AE">
      <w:pPr>
        <w:numPr>
          <w:ilvl w:val="0"/>
          <w:numId w:val="1"/>
        </w:numPr>
        <w:spacing w:after="71" w:line="268" w:lineRule="auto"/>
        <w:ind w:hanging="331"/>
      </w:pPr>
      <w:r>
        <w:rPr>
          <w:sz w:val="22"/>
        </w:rPr>
        <w:t xml:space="preserve">Все юридически значимые сообщения должны направляться сторонами исключительно по </w:t>
      </w:r>
      <w:proofErr w:type="gramStart"/>
      <w:r>
        <w:rPr>
          <w:sz w:val="22"/>
        </w:rPr>
        <w:t>адресу места нахождения</w:t>
      </w:r>
      <w:proofErr w:type="gramEnd"/>
      <w:r>
        <w:rPr>
          <w:sz w:val="22"/>
        </w:rPr>
        <w:t xml:space="preserve"> стороны, указанного в настоящем договоре. Направление сообщений по другим адресам или иным способом является ненадлежащим. </w:t>
      </w:r>
    </w:p>
    <w:p w:rsidR="007446AE" w:rsidRDefault="007446AE" w:rsidP="007446AE">
      <w:pPr>
        <w:numPr>
          <w:ilvl w:val="0"/>
          <w:numId w:val="1"/>
        </w:numPr>
        <w:spacing w:after="0" w:line="268" w:lineRule="auto"/>
        <w:ind w:hanging="331"/>
      </w:pPr>
      <w:r>
        <w:rPr>
          <w:sz w:val="22"/>
        </w:rPr>
        <w:t xml:space="preserve">Настоящий договор вступает в силу со дня подписания и действует в течение 5 (пяти) лет. </w:t>
      </w:r>
    </w:p>
    <w:tbl>
      <w:tblPr>
        <w:tblStyle w:val="TableGrid"/>
        <w:tblW w:w="10063" w:type="dxa"/>
        <w:tblInd w:w="5" w:type="dxa"/>
        <w:tblCellMar>
          <w:top w:w="42" w:type="dxa"/>
          <w:right w:w="56" w:type="dxa"/>
        </w:tblCellMar>
        <w:tblLook w:val="04A0" w:firstRow="1" w:lastRow="0" w:firstColumn="1" w:lastColumn="0" w:noHBand="0" w:noVBand="1"/>
      </w:tblPr>
      <w:tblGrid>
        <w:gridCol w:w="3949"/>
        <w:gridCol w:w="933"/>
        <w:gridCol w:w="502"/>
        <w:gridCol w:w="4679"/>
      </w:tblGrid>
      <w:tr w:rsidR="007446AE" w:rsidTr="00F64CAC">
        <w:trPr>
          <w:trHeight w:val="26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Поручитель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Кредитор </w:t>
            </w:r>
          </w:p>
        </w:tc>
      </w:tr>
      <w:tr w:rsidR="007446AE" w:rsidTr="00F64CAC">
        <w:trPr>
          <w:trHeight w:val="127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tabs>
                <w:tab w:val="center" w:pos="2055"/>
                <w:tab w:val="center" w:pos="3336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[Краткое </w:t>
            </w:r>
            <w:r>
              <w:rPr>
                <w:sz w:val="22"/>
              </w:rPr>
              <w:tab/>
              <w:t xml:space="preserve">наименование </w:t>
            </w:r>
            <w:r>
              <w:rPr>
                <w:sz w:val="22"/>
              </w:rPr>
              <w:tab/>
              <w:t xml:space="preserve">или </w:t>
            </w:r>
          </w:p>
          <w:p w:rsidR="007446AE" w:rsidRDefault="007446AE" w:rsidP="00F64CAC">
            <w:pPr>
              <w:spacing w:after="1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[ИНН/ОГРН/ОГНИП] </w:t>
            </w:r>
          </w:p>
          <w:p w:rsidR="007446AE" w:rsidRDefault="007446AE" w:rsidP="00F64CAC">
            <w:pPr>
              <w:spacing w:after="18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[реквизиты банковского счета] </w:t>
            </w:r>
          </w:p>
          <w:p w:rsidR="007446AE" w:rsidRDefault="007446AE" w:rsidP="00F64CAC">
            <w:pPr>
              <w:spacing w:after="0" w:line="259" w:lineRule="auto"/>
              <w:ind w:left="108" w:right="307" w:firstLine="0"/>
              <w:jc w:val="left"/>
            </w:pPr>
            <w:r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адрес места нахождения</w:t>
            </w:r>
            <w:proofErr w:type="gramEnd"/>
            <w:r>
              <w:rPr>
                <w:sz w:val="22"/>
              </w:rPr>
              <w:t xml:space="preserve">] [почтовый адрес]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ФИО 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ИП]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2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[уполномоченное лицо] </w:t>
            </w:r>
          </w:p>
          <w:p w:rsidR="007446AE" w:rsidRDefault="007446AE" w:rsidP="00F64CAC">
            <w:pPr>
              <w:spacing w:after="1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[ИНН/ОГРН] </w:t>
            </w:r>
          </w:p>
          <w:p w:rsidR="007446AE" w:rsidRDefault="007446AE" w:rsidP="00F64CAC">
            <w:pPr>
              <w:spacing w:after="0" w:line="259" w:lineRule="auto"/>
              <w:ind w:left="108" w:right="965" w:firstLine="0"/>
              <w:jc w:val="left"/>
            </w:pPr>
            <w:r>
              <w:rPr>
                <w:sz w:val="22"/>
              </w:rPr>
              <w:t>[реквизиты банковского счета] [</w:t>
            </w:r>
            <w:proofErr w:type="gramStart"/>
            <w:r>
              <w:rPr>
                <w:sz w:val="22"/>
              </w:rPr>
              <w:t>адрес места нахождения</w:t>
            </w:r>
            <w:proofErr w:type="gramEnd"/>
            <w:r>
              <w:rPr>
                <w:sz w:val="22"/>
              </w:rPr>
              <w:t xml:space="preserve">] </w:t>
            </w:r>
          </w:p>
        </w:tc>
      </w:tr>
      <w:tr w:rsidR="007446AE" w:rsidTr="00F64CAC">
        <w:trPr>
          <w:trHeight w:val="26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[подпись]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6AE" w:rsidRDefault="007446AE" w:rsidP="00F64C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AE" w:rsidRDefault="007446AE" w:rsidP="00F64C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[подпись и печать] </w:t>
            </w:r>
          </w:p>
        </w:tc>
      </w:tr>
    </w:tbl>
    <w:p w:rsidR="007446AE" w:rsidRDefault="007446AE" w:rsidP="007446AE">
      <w:pPr>
        <w:ind w:left="0" w:firstLine="0"/>
        <w:sectPr w:rsidR="007446AE" w:rsidSect="00A85410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440" w:right="1080" w:bottom="1440" w:left="1080" w:header="720" w:footer="713" w:gutter="0"/>
          <w:cols w:space="720"/>
        </w:sectPr>
      </w:pPr>
    </w:p>
    <w:p w:rsidR="007D4DA2" w:rsidRDefault="007D4DA2"/>
    <w:sectPr w:rsidR="007D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10" w:rsidRDefault="00FF5310" w:rsidP="007446AE">
      <w:pPr>
        <w:spacing w:after="0" w:line="240" w:lineRule="auto"/>
      </w:pPr>
      <w:r>
        <w:separator/>
      </w:r>
    </w:p>
  </w:endnote>
  <w:endnote w:type="continuationSeparator" w:id="0">
    <w:p w:rsidR="00FF5310" w:rsidRDefault="00FF5310" w:rsidP="0074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AE" w:rsidRDefault="007446A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446AE" w:rsidRDefault="007446A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AE" w:rsidRDefault="007446A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446AE" w:rsidRDefault="007446A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AE" w:rsidRDefault="007446A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446AE" w:rsidRDefault="007446A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10" w:rsidRDefault="00FF5310" w:rsidP="007446AE">
      <w:pPr>
        <w:spacing w:after="0" w:line="240" w:lineRule="auto"/>
      </w:pPr>
      <w:r>
        <w:separator/>
      </w:r>
    </w:p>
  </w:footnote>
  <w:footnote w:type="continuationSeparator" w:id="0">
    <w:p w:rsidR="00FF5310" w:rsidRDefault="00FF5310" w:rsidP="007446AE">
      <w:pPr>
        <w:spacing w:after="0" w:line="240" w:lineRule="auto"/>
      </w:pPr>
      <w:r>
        <w:continuationSeparator/>
      </w:r>
    </w:p>
  </w:footnote>
  <w:footnote w:id="1">
    <w:p w:rsidR="007446AE" w:rsidRDefault="007446AE" w:rsidP="007446AE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Указывается при заключении договора с индивидуальным предпринимателем. </w:t>
      </w:r>
    </w:p>
  </w:footnote>
  <w:footnote w:id="2">
    <w:p w:rsidR="007446AE" w:rsidRDefault="007446AE" w:rsidP="007446AE">
      <w:pPr>
        <w:pStyle w:val="footnotedescription"/>
        <w:spacing w:line="286" w:lineRule="auto"/>
      </w:pPr>
      <w:r>
        <w:rPr>
          <w:rStyle w:val="footnotemark"/>
        </w:rPr>
        <w:footnoteRef/>
      </w:r>
      <w:r>
        <w:t xml:space="preserve"> Правила хранения товара на Базисе при осуществлении НКО НКЦ (АО) функций оператора товарных поставок (утв. Правлением НКО НКЦ (АО) и размещены в информационно-телекоммуникационной сети «Интернет» по адресу</w:t>
      </w:r>
      <w:hyperlink r:id="rId1">
        <w:r>
          <w:t>: www.nationalclearingcentre.ru</w:t>
        </w:r>
      </w:hyperlink>
      <w:hyperlink r:id="rId2">
        <w:r>
          <w:t>.</w:t>
        </w:r>
      </w:hyperlink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93A"/>
    <w:multiLevelType w:val="hybridMultilevel"/>
    <w:tmpl w:val="9FA4C334"/>
    <w:lvl w:ilvl="0" w:tplc="5D44612A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4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4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E5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A6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8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CA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80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6B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AE"/>
    <w:rsid w:val="00220EFD"/>
    <w:rsid w:val="003F3AE5"/>
    <w:rsid w:val="007446AE"/>
    <w:rsid w:val="007D4DA2"/>
    <w:rsid w:val="00E03C7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A13E5"/>
  <w15:chartTrackingRefBased/>
  <w15:docId w15:val="{4399B9D2-6CAE-4ECE-BE04-6892D9B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AE"/>
    <w:pPr>
      <w:spacing w:after="12" w:line="270" w:lineRule="auto"/>
      <w:ind w:left="18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446AE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446A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7446A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44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clearingcentre.ru/" TargetMode="External"/><Relationship Id="rId1" Type="http://schemas.openxmlformats.org/officeDocument/2006/relationships/hyperlink" Target="http://www.nationalclearing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Малахова Виктория Николаевна</cp:lastModifiedBy>
  <cp:revision>1</cp:revision>
  <dcterms:created xsi:type="dcterms:W3CDTF">2020-10-14T12:53:00Z</dcterms:created>
  <dcterms:modified xsi:type="dcterms:W3CDTF">2020-10-14T12:53:00Z</dcterms:modified>
</cp:coreProperties>
</file>